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2225123A" w:rsidR="00E32065" w:rsidRPr="00E32065" w:rsidRDefault="00E32065" w:rsidP="00E32065">
      <w:pPr>
        <w:jc w:val="center"/>
        <w:rPr>
          <w:b/>
          <w:sz w:val="34"/>
          <w:szCs w:val="34"/>
          <w:lang w:eastAsia="en-US"/>
        </w:rPr>
      </w:pPr>
      <w:r w:rsidRPr="00E32065">
        <w:rPr>
          <w:b/>
          <w:sz w:val="34"/>
          <w:szCs w:val="34"/>
          <w:lang w:eastAsia="en-US"/>
        </w:rPr>
        <w:t xml:space="preserve">“Par </w:t>
      </w:r>
      <w:bookmarkStart w:id="0" w:name="_Hlk86667254"/>
      <w:r w:rsidR="00ED28F1" w:rsidRPr="00ED28F1">
        <w:rPr>
          <w:b/>
          <w:sz w:val="34"/>
          <w:szCs w:val="34"/>
          <w:lang w:eastAsia="en-US"/>
        </w:rPr>
        <w:t>elektropreču iegād</w:t>
      </w:r>
      <w:r w:rsidR="007D6BB3">
        <w:rPr>
          <w:b/>
          <w:sz w:val="34"/>
          <w:szCs w:val="34"/>
          <w:lang w:eastAsia="en-US"/>
        </w:rPr>
        <w:t>i</w:t>
      </w:r>
      <w:bookmarkEnd w:id="0"/>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654BCD5C"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30308E">
        <w:rPr>
          <w:bCs/>
          <w:sz w:val="34"/>
          <w:szCs w:val="34"/>
          <w:lang w:eastAsia="en-US"/>
        </w:rPr>
        <w:t xml:space="preserve"> </w:t>
      </w:r>
      <w:r w:rsidR="007D6BB3">
        <w:rPr>
          <w:bCs/>
          <w:sz w:val="34"/>
          <w:szCs w:val="34"/>
          <w:lang w:eastAsia="en-US"/>
        </w:rPr>
        <w:t>1</w:t>
      </w:r>
      <w:r w:rsidR="00DD227B">
        <w:rPr>
          <w:bCs/>
          <w:sz w:val="34"/>
          <w:szCs w:val="34"/>
          <w:lang w:eastAsia="en-US"/>
        </w:rPr>
        <w:t>5</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7E24D878"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w:t>
      </w:r>
      <w:proofErr w:type="spellStart"/>
      <w:r w:rsidR="00BA6A66" w:rsidRPr="00BA6A66">
        <w:rPr>
          <w:bCs/>
          <w:sz w:val="26"/>
          <w:szCs w:val="26"/>
        </w:rPr>
        <w:t>Luminor</w:t>
      </w:r>
      <w:proofErr w:type="spellEnd"/>
      <w:r w:rsidR="00BA6A66" w:rsidRPr="00BA6A66">
        <w:rPr>
          <w:bCs/>
          <w:sz w:val="26"/>
          <w:szCs w:val="26"/>
        </w:rPr>
        <w:t xml:space="preserve"> </w:t>
      </w:r>
      <w:proofErr w:type="spellStart"/>
      <w:r w:rsidR="00BA6A66" w:rsidRPr="00BA6A66">
        <w:rPr>
          <w:bCs/>
          <w:sz w:val="26"/>
          <w:szCs w:val="26"/>
        </w:rPr>
        <w:t>Bank</w:t>
      </w:r>
      <w:proofErr w:type="spellEnd"/>
      <w:r w:rsidR="00BA6A66" w:rsidRPr="00BA6A66">
        <w:rPr>
          <w:bCs/>
          <w:sz w:val="26"/>
          <w:szCs w:val="26"/>
        </w:rPr>
        <w:t xml:space="preserve">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00F71A2F" w:rsidR="00E32065" w:rsidRPr="00ED28F1" w:rsidRDefault="009C7D87" w:rsidP="00E32065">
      <w:pPr>
        <w:numPr>
          <w:ilvl w:val="1"/>
          <w:numId w:val="4"/>
        </w:numPr>
        <w:tabs>
          <w:tab w:val="left" w:pos="567"/>
        </w:tabs>
        <w:suppressAutoHyphens/>
        <w:ind w:left="0" w:firstLine="0"/>
        <w:contextualSpacing/>
        <w:jc w:val="both"/>
        <w:rPr>
          <w:color w:val="000000" w:themeColor="text1"/>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w:t>
      </w:r>
      <w:r w:rsidR="007D6BB3">
        <w:rPr>
          <w:sz w:val="26"/>
          <w:szCs w:val="26"/>
        </w:rPr>
        <w:t>Anita Švarca</w:t>
      </w:r>
      <w:r w:rsidR="00E32065" w:rsidRPr="00E32065">
        <w:rPr>
          <w:sz w:val="26"/>
          <w:szCs w:val="26"/>
        </w:rPr>
        <w:t>, tālrunis 67037</w:t>
      </w:r>
      <w:r w:rsidR="007D6BB3">
        <w:rPr>
          <w:sz w:val="26"/>
          <w:szCs w:val="26"/>
        </w:rPr>
        <w:t>856</w:t>
      </w:r>
      <w:r w:rsidR="00E32065" w:rsidRPr="00E32065">
        <w:rPr>
          <w:sz w:val="26"/>
          <w:szCs w:val="26"/>
        </w:rPr>
        <w:t xml:space="preserve">, e-pasts: </w:t>
      </w:r>
      <w:hyperlink r:id="rId8" w:history="1">
        <w:r w:rsidR="007D6BB3" w:rsidRPr="00ED28F1">
          <w:rPr>
            <w:rStyle w:val="Hipersaite"/>
            <w:color w:val="000000" w:themeColor="text1"/>
            <w:sz w:val="26"/>
            <w:szCs w:val="26"/>
            <w:u w:val="none"/>
          </w:rPr>
          <w:t>Anita.Svarca@riga.lv</w:t>
        </w:r>
      </w:hyperlink>
      <w:r w:rsidR="00E32065" w:rsidRPr="00ED28F1">
        <w:rPr>
          <w:color w:val="000000" w:themeColor="text1"/>
          <w:sz w:val="26"/>
          <w:szCs w:val="26"/>
        </w:rPr>
        <w:t xml:space="preserve">, jautājumos par tirgus izpētes veikšanu un paredzamā līguma noslēgšanu – </w:t>
      </w:r>
      <w:r w:rsidR="00ED28F1" w:rsidRPr="00ED28F1">
        <w:rPr>
          <w:color w:val="000000" w:themeColor="text1"/>
          <w:sz w:val="26"/>
          <w:szCs w:val="26"/>
        </w:rPr>
        <w:t>Viktorija Osovska</w:t>
      </w:r>
      <w:r w:rsidR="00ED28F1">
        <w:rPr>
          <w:sz w:val="26"/>
          <w:szCs w:val="26"/>
        </w:rPr>
        <w:t>-Hlebina,</w:t>
      </w:r>
      <w:r w:rsidR="00E32065" w:rsidRPr="00E32065">
        <w:rPr>
          <w:sz w:val="26"/>
          <w:szCs w:val="26"/>
        </w:rPr>
        <w:t xml:space="preserve"> tālrunis </w:t>
      </w:r>
      <w:r w:rsidR="00ED28F1" w:rsidRPr="00ED28F1">
        <w:rPr>
          <w:bCs/>
          <w:sz w:val="26"/>
          <w:szCs w:val="26"/>
        </w:rPr>
        <w:t xml:space="preserve">67037834, e-pasts: </w:t>
      </w:r>
      <w:hyperlink r:id="rId9" w:history="1">
        <w:r w:rsidR="00ED28F1" w:rsidRPr="00ED28F1">
          <w:rPr>
            <w:rStyle w:val="Hipersaite"/>
            <w:bCs/>
            <w:color w:val="000000" w:themeColor="text1"/>
            <w:sz w:val="26"/>
            <w:szCs w:val="26"/>
            <w:u w:val="none"/>
          </w:rPr>
          <w:t>Viktorija.Osovska_Hlebina@riga.lv</w:t>
        </w:r>
      </w:hyperlink>
      <w:r w:rsidR="00E32065" w:rsidRPr="00ED28F1">
        <w:rPr>
          <w:color w:val="000000" w:themeColor="text1"/>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523A1B43"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ED28F1">
        <w:rPr>
          <w:sz w:val="26"/>
          <w:szCs w:val="26"/>
        </w:rPr>
        <w:t>E</w:t>
      </w:r>
      <w:r w:rsidR="00ED28F1" w:rsidRPr="00ED28F1">
        <w:rPr>
          <w:sz w:val="26"/>
          <w:szCs w:val="26"/>
        </w:rPr>
        <w:t>lektropreču iegād</w:t>
      </w:r>
      <w:r w:rsidR="00ED28F1">
        <w:rPr>
          <w:sz w:val="26"/>
          <w:szCs w:val="26"/>
        </w:rPr>
        <w:t>e</w:t>
      </w:r>
    </w:p>
    <w:p w14:paraId="219838D8" w14:textId="1A34C8B0"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7D6BB3">
        <w:rPr>
          <w:sz w:val="26"/>
          <w:szCs w:val="26"/>
        </w:rPr>
        <w:t>Visu preču piegāde līdz 2021.gada 1</w:t>
      </w:r>
      <w:r w:rsidR="00ED28F1">
        <w:rPr>
          <w:sz w:val="26"/>
          <w:szCs w:val="26"/>
        </w:rPr>
        <w:t>0</w:t>
      </w:r>
      <w:r w:rsidR="007D6BB3">
        <w:rPr>
          <w:sz w:val="26"/>
          <w:szCs w:val="26"/>
        </w:rPr>
        <w:t>.decembrim</w:t>
      </w:r>
    </w:p>
    <w:p w14:paraId="7C20725E" w14:textId="2FE59426"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7D6BB3">
        <w:rPr>
          <w:sz w:val="26"/>
          <w:szCs w:val="26"/>
        </w:rPr>
        <w:t xml:space="preserve">9999.00 (deviņi tūkstoši deviņi simti deviņdesmit deviņi </w:t>
      </w:r>
      <w:proofErr w:type="spellStart"/>
      <w:r w:rsidR="007D6BB3" w:rsidRPr="007D6BB3">
        <w:rPr>
          <w:i/>
          <w:iCs/>
          <w:sz w:val="26"/>
          <w:szCs w:val="26"/>
        </w:rPr>
        <w:t>euro</w:t>
      </w:r>
      <w:proofErr w:type="spellEnd"/>
      <w:r w:rsidR="007D6BB3">
        <w:rPr>
          <w:sz w:val="26"/>
          <w:szCs w:val="26"/>
        </w:rPr>
        <w:t>, 00 centi) bez PVN.</w:t>
      </w:r>
    </w:p>
    <w:p w14:paraId="3947C8AB" w14:textId="3C1D956E" w:rsidR="00045217" w:rsidRPr="00C410B7" w:rsidRDefault="00C410B7" w:rsidP="00045217">
      <w:pPr>
        <w:jc w:val="both"/>
        <w:rPr>
          <w:bCs/>
          <w:sz w:val="26"/>
          <w:szCs w:val="26"/>
        </w:rPr>
      </w:pPr>
      <w:r>
        <w:rPr>
          <w:bCs/>
          <w:sz w:val="26"/>
          <w:szCs w:val="26"/>
        </w:rPr>
        <w:t>2.</w:t>
      </w:r>
      <w:r w:rsidR="00816238">
        <w:rPr>
          <w:bCs/>
          <w:sz w:val="26"/>
          <w:szCs w:val="26"/>
        </w:rPr>
        <w:t>4</w:t>
      </w:r>
      <w:r>
        <w:rPr>
          <w:bCs/>
          <w:sz w:val="26"/>
          <w:szCs w:val="26"/>
        </w:rPr>
        <w:t xml:space="preserve">.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ehniskajai specifikācijai</w:t>
      </w:r>
      <w:r w:rsidR="00ED28F1">
        <w:rPr>
          <w:sz w:val="26"/>
          <w:szCs w:val="26"/>
        </w:rPr>
        <w:t xml:space="preserve"> –</w:t>
      </w:r>
      <w:r w:rsidR="00045217" w:rsidRPr="00137FB7">
        <w:rPr>
          <w:sz w:val="26"/>
          <w:szCs w:val="26"/>
        </w:rPr>
        <w:t xml:space="preserve"> </w:t>
      </w:r>
      <w:r w:rsidR="007D6BB3">
        <w:rPr>
          <w:sz w:val="26"/>
          <w:szCs w:val="26"/>
        </w:rPr>
        <w:t>F</w:t>
      </w:r>
      <w:r w:rsidR="00045217" w:rsidRPr="00137FB7">
        <w:rPr>
          <w:sz w:val="26"/>
          <w:szCs w:val="26"/>
        </w:rPr>
        <w:t xml:space="preserve">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DFDEAE7"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0D4EA0A4"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w:t>
      </w:r>
      <w:r w:rsidR="007D6BB3">
        <w:rPr>
          <w:sz w:val="26"/>
          <w:szCs w:val="26"/>
          <w:lang w:val="lv-LV"/>
        </w:rPr>
        <w:t>(2.pielikums).</w:t>
      </w:r>
    </w:p>
    <w:p w14:paraId="331DA6FA" w14:textId="027341C1"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816238">
        <w:rPr>
          <w:bCs/>
          <w:sz w:val="26"/>
          <w:szCs w:val="26"/>
        </w:rPr>
        <w:t>3</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4B9BE4E"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540C7E91"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w:t>
      </w:r>
      <w:proofErr w:type="spellStart"/>
      <w:r w:rsidR="00816238">
        <w:rPr>
          <w:sz w:val="26"/>
          <w:szCs w:val="26"/>
        </w:rPr>
        <w:t>valsts</w:t>
      </w:r>
      <w:r w:rsidRPr="00D867D3">
        <w:rPr>
          <w:sz w:val="26"/>
          <w:szCs w:val="26"/>
        </w:rPr>
        <w:t>pilsētas</w:t>
      </w:r>
      <w:proofErr w:type="spellEnd"/>
      <w:r w:rsidRPr="00D867D3">
        <w:rPr>
          <w:sz w:val="26"/>
          <w:szCs w:val="26"/>
        </w:rPr>
        <w:t xml:space="preserve"> pašvaldības portālā </w:t>
      </w:r>
      <w:hyperlink r:id="rId10"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1" w:history="1">
        <w:r w:rsidRPr="0083432B">
          <w:rPr>
            <w:rStyle w:val="Hipersaite"/>
            <w:color w:val="auto"/>
            <w:sz w:val="26"/>
            <w:szCs w:val="26"/>
            <w:u w:val="none"/>
          </w:rPr>
          <w:t>www.eriga.lv</w:t>
        </w:r>
      </w:hyperlink>
      <w:r w:rsidRPr="00D867D3">
        <w:rPr>
          <w:sz w:val="26"/>
          <w:szCs w:val="26"/>
        </w:rPr>
        <w:t xml:space="preserve">, atbilstoši portālā noteiktajam aprakstam par elektroniskā rēķina iesniegšanas formātu un piegādes veidu; izmanto </w:t>
      </w:r>
      <w:proofErr w:type="spellStart"/>
      <w:r w:rsidRPr="00D867D3">
        <w:rPr>
          <w:sz w:val="26"/>
          <w:szCs w:val="26"/>
        </w:rPr>
        <w:t>Web</w:t>
      </w:r>
      <w:proofErr w:type="spellEnd"/>
      <w:r w:rsidRPr="00D867D3">
        <w:rPr>
          <w:sz w:val="26"/>
          <w:szCs w:val="26"/>
        </w:rPr>
        <w:t xml:space="preserve">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2" w:history="1">
        <w:r w:rsidRPr="0083432B">
          <w:rPr>
            <w:rStyle w:val="Hipersaite"/>
            <w:color w:val="auto"/>
            <w:sz w:val="26"/>
            <w:szCs w:val="26"/>
            <w:u w:val="none"/>
          </w:rPr>
          <w:t>www.eriga.lv</w:t>
        </w:r>
      </w:hyperlink>
      <w:r w:rsidRPr="00D867D3">
        <w:rPr>
          <w:sz w:val="26"/>
          <w:szCs w:val="26"/>
        </w:rPr>
        <w:t xml:space="preserve">, sadaļā “Rēķinu </w:t>
      </w:r>
      <w:r w:rsidRPr="00D867D3">
        <w:rPr>
          <w:sz w:val="26"/>
          <w:szCs w:val="26"/>
        </w:rPr>
        <w:lastRenderedPageBreak/>
        <w:t xml:space="preserve">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3"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5E6DDEDA" w:rsidR="00137FB7" w:rsidRPr="00816238" w:rsidRDefault="00816238" w:rsidP="00095BC5">
      <w:pPr>
        <w:pStyle w:val="Sarakstarindkopa"/>
        <w:numPr>
          <w:ilvl w:val="1"/>
          <w:numId w:val="26"/>
        </w:numPr>
        <w:tabs>
          <w:tab w:val="left" w:pos="426"/>
        </w:tabs>
        <w:ind w:left="0" w:firstLine="0"/>
        <w:jc w:val="both"/>
        <w:rPr>
          <w:color w:val="000000" w:themeColor="text1"/>
          <w:sz w:val="26"/>
          <w:szCs w:val="26"/>
        </w:rPr>
      </w:pPr>
      <w:r>
        <w:rPr>
          <w:sz w:val="26"/>
          <w:szCs w:val="26"/>
        </w:rPr>
        <w:t xml:space="preserve"> </w:t>
      </w:r>
      <w:r w:rsidR="00137FB7" w:rsidRPr="00816238">
        <w:rPr>
          <w:sz w:val="26"/>
          <w:szCs w:val="26"/>
        </w:rPr>
        <w:t xml:space="preserve">Piedāvājumus var iesniegt, nosūtot </w:t>
      </w:r>
      <w:r w:rsidR="002F3809" w:rsidRPr="00816238">
        <w:rPr>
          <w:sz w:val="26"/>
          <w:szCs w:val="26"/>
        </w:rPr>
        <w:t>elektroniski parakstītus dokumentus</w:t>
      </w:r>
      <w:r w:rsidR="00B9462F" w:rsidRPr="00816238">
        <w:rPr>
          <w:sz w:val="26"/>
          <w:szCs w:val="26"/>
        </w:rPr>
        <w:t xml:space="preserve"> vai</w:t>
      </w:r>
      <w:r w:rsidR="002F3809" w:rsidRPr="00816238">
        <w:rPr>
          <w:sz w:val="26"/>
          <w:szCs w:val="26"/>
        </w:rPr>
        <w:t xml:space="preserve"> </w:t>
      </w:r>
      <w:r w:rsidR="00137FB7" w:rsidRPr="00816238">
        <w:rPr>
          <w:sz w:val="26"/>
          <w:szCs w:val="26"/>
        </w:rPr>
        <w:t>parakstītus un ieskanētus dokumentus uz e-pastu</w:t>
      </w:r>
      <w:r w:rsidR="002F3809" w:rsidRPr="00816238">
        <w:rPr>
          <w:sz w:val="26"/>
          <w:szCs w:val="26"/>
        </w:rPr>
        <w:t>:</w:t>
      </w:r>
      <w:r w:rsidR="008513F3" w:rsidRPr="00816238">
        <w:rPr>
          <w:sz w:val="26"/>
          <w:szCs w:val="26"/>
        </w:rPr>
        <w:t xml:space="preserve"> </w:t>
      </w:r>
      <w:hyperlink r:id="rId14" w:history="1">
        <w:r w:rsidR="00ED28F1" w:rsidRPr="00816238">
          <w:rPr>
            <w:rStyle w:val="Hipersaite"/>
            <w:bCs/>
            <w:color w:val="000000" w:themeColor="text1"/>
            <w:u w:val="none"/>
          </w:rPr>
          <w:t>Viktorija.Osovska_Hlebina@riga.lv</w:t>
        </w:r>
      </w:hyperlink>
      <w:r w:rsidR="00B9462F" w:rsidRPr="00816238">
        <w:rPr>
          <w:color w:val="000000" w:themeColor="text1"/>
          <w:sz w:val="26"/>
          <w:szCs w:val="26"/>
        </w:rPr>
        <w:t>,</w:t>
      </w:r>
      <w:r w:rsidR="00137FB7" w:rsidRPr="00816238">
        <w:rPr>
          <w:color w:val="000000" w:themeColor="text1"/>
          <w:sz w:val="26"/>
          <w:szCs w:val="26"/>
        </w:rPr>
        <w:t xml:space="preserve"> līdz 20</w:t>
      </w:r>
      <w:r w:rsidR="004604DD" w:rsidRPr="00816238">
        <w:rPr>
          <w:color w:val="000000" w:themeColor="text1"/>
          <w:sz w:val="26"/>
          <w:szCs w:val="26"/>
        </w:rPr>
        <w:t>2</w:t>
      </w:r>
      <w:r w:rsidR="00895340" w:rsidRPr="00816238">
        <w:rPr>
          <w:color w:val="000000" w:themeColor="text1"/>
          <w:sz w:val="26"/>
          <w:szCs w:val="26"/>
        </w:rPr>
        <w:t>1</w:t>
      </w:r>
      <w:r w:rsidR="00137FB7" w:rsidRPr="00816238">
        <w:rPr>
          <w:color w:val="000000" w:themeColor="text1"/>
          <w:sz w:val="26"/>
          <w:szCs w:val="26"/>
        </w:rPr>
        <w:t>.</w:t>
      </w:r>
      <w:r w:rsidRPr="00816238">
        <w:rPr>
          <w:color w:val="000000" w:themeColor="text1"/>
          <w:sz w:val="26"/>
          <w:szCs w:val="26"/>
        </w:rPr>
        <w:t xml:space="preserve"> </w:t>
      </w:r>
      <w:r w:rsidR="00137FB7" w:rsidRPr="00816238">
        <w:rPr>
          <w:color w:val="000000" w:themeColor="text1"/>
          <w:sz w:val="26"/>
          <w:szCs w:val="26"/>
        </w:rPr>
        <w:t xml:space="preserve">gada </w:t>
      </w:r>
      <w:r w:rsidRPr="00816238">
        <w:rPr>
          <w:color w:val="000000" w:themeColor="text1"/>
          <w:sz w:val="26"/>
          <w:szCs w:val="26"/>
        </w:rPr>
        <w:t>5</w:t>
      </w:r>
      <w:r w:rsidR="00B9462F" w:rsidRPr="00816238">
        <w:rPr>
          <w:color w:val="000000" w:themeColor="text1"/>
          <w:sz w:val="26"/>
          <w:szCs w:val="26"/>
        </w:rPr>
        <w:t>.</w:t>
      </w:r>
      <w:r w:rsidRPr="00816238">
        <w:rPr>
          <w:color w:val="000000" w:themeColor="text1"/>
          <w:sz w:val="26"/>
          <w:szCs w:val="26"/>
        </w:rPr>
        <w:t xml:space="preserve"> </w:t>
      </w:r>
      <w:r w:rsidR="00EF1145" w:rsidRPr="00816238">
        <w:rPr>
          <w:color w:val="000000" w:themeColor="text1"/>
          <w:sz w:val="26"/>
          <w:szCs w:val="26"/>
        </w:rPr>
        <w:t>novem</w:t>
      </w:r>
      <w:r w:rsidR="007D6BB3" w:rsidRPr="00816238">
        <w:rPr>
          <w:color w:val="000000" w:themeColor="text1"/>
          <w:sz w:val="26"/>
          <w:szCs w:val="26"/>
        </w:rPr>
        <w:t>bra</w:t>
      </w:r>
      <w:r w:rsidR="00137FB7" w:rsidRPr="00816238">
        <w:rPr>
          <w:color w:val="000000" w:themeColor="text1"/>
          <w:sz w:val="26"/>
          <w:szCs w:val="26"/>
        </w:rPr>
        <w:t xml:space="preserve"> pulksten 1</w:t>
      </w:r>
      <w:r w:rsidRPr="00816238">
        <w:rPr>
          <w:color w:val="000000" w:themeColor="text1"/>
          <w:sz w:val="26"/>
          <w:szCs w:val="26"/>
        </w:rPr>
        <w:t>0</w:t>
      </w:r>
      <w:r w:rsidR="00137FB7" w:rsidRPr="00816238">
        <w:rPr>
          <w:color w:val="000000" w:themeColor="text1"/>
          <w:sz w:val="26"/>
          <w:szCs w:val="26"/>
        </w:rPr>
        <w:t>.00.</w:t>
      </w:r>
    </w:p>
    <w:p w14:paraId="107E41FC" w14:textId="380B4243" w:rsidR="00095BC5" w:rsidRPr="00ED28F1" w:rsidRDefault="00816238" w:rsidP="00095BC5">
      <w:pPr>
        <w:pStyle w:val="Sarakstarindkopa"/>
        <w:numPr>
          <w:ilvl w:val="1"/>
          <w:numId w:val="26"/>
        </w:numPr>
        <w:tabs>
          <w:tab w:val="left" w:pos="426"/>
        </w:tabs>
        <w:ind w:left="0" w:firstLine="0"/>
        <w:jc w:val="both"/>
        <w:rPr>
          <w:color w:val="000000" w:themeColor="text1"/>
          <w:sz w:val="26"/>
          <w:szCs w:val="26"/>
        </w:rPr>
      </w:pPr>
      <w:r>
        <w:rPr>
          <w:color w:val="000000" w:themeColor="text1"/>
          <w:sz w:val="26"/>
          <w:szCs w:val="26"/>
        </w:rPr>
        <w:t xml:space="preserve"> </w:t>
      </w:r>
      <w:r w:rsidR="00095BC5" w:rsidRPr="00ED28F1">
        <w:rPr>
          <w:color w:val="000000" w:themeColor="text1"/>
          <w:sz w:val="26"/>
          <w:szCs w:val="26"/>
        </w:rPr>
        <w:t>Piedāvājumi, kas tiks iesniegti pēc norādīta termiņa, netiks izskatīti.</w:t>
      </w:r>
    </w:p>
    <w:p w14:paraId="1D584DAA" w14:textId="22F9E1DA" w:rsidR="00095BC5" w:rsidRPr="00ED28F1" w:rsidRDefault="00816238" w:rsidP="00095BC5">
      <w:pPr>
        <w:pStyle w:val="Sarakstarindkopa"/>
        <w:numPr>
          <w:ilvl w:val="1"/>
          <w:numId w:val="26"/>
        </w:numPr>
        <w:tabs>
          <w:tab w:val="left" w:pos="426"/>
        </w:tabs>
        <w:ind w:left="0" w:firstLine="0"/>
        <w:jc w:val="both"/>
        <w:rPr>
          <w:color w:val="000000" w:themeColor="text1"/>
          <w:sz w:val="26"/>
          <w:szCs w:val="26"/>
        </w:rPr>
      </w:pPr>
      <w:r>
        <w:rPr>
          <w:color w:val="000000" w:themeColor="text1"/>
          <w:sz w:val="26"/>
          <w:szCs w:val="26"/>
        </w:rPr>
        <w:t xml:space="preserve"> </w:t>
      </w:r>
      <w:r w:rsidR="00095BC5" w:rsidRPr="00ED28F1">
        <w:rPr>
          <w:color w:val="000000" w:themeColor="text1"/>
          <w:sz w:val="26"/>
          <w:szCs w:val="26"/>
        </w:rPr>
        <w:t>Informācija par personas datu apstrādi iepirkumos pieejama:</w:t>
      </w:r>
    </w:p>
    <w:p w14:paraId="76CDFF9D" w14:textId="548FB246" w:rsidR="00095BC5" w:rsidRPr="00ED28F1" w:rsidRDefault="00095BC5" w:rsidP="00095BC5">
      <w:pPr>
        <w:pStyle w:val="Sarakstarindkopa"/>
        <w:tabs>
          <w:tab w:val="left" w:pos="426"/>
        </w:tabs>
        <w:ind w:left="0"/>
        <w:jc w:val="both"/>
        <w:rPr>
          <w:color w:val="000000" w:themeColor="text1"/>
          <w:sz w:val="26"/>
          <w:szCs w:val="26"/>
        </w:rPr>
      </w:pPr>
      <w:r w:rsidRPr="00ED28F1">
        <w:rPr>
          <w:color w:val="000000" w:themeColor="text1"/>
          <w:sz w:val="26"/>
          <w:szCs w:val="26"/>
        </w:rPr>
        <w:t xml:space="preserve"> </w:t>
      </w:r>
      <w:hyperlink r:id="rId15" w:history="1">
        <w:r w:rsidRPr="00ED28F1">
          <w:rPr>
            <w:rStyle w:val="Hipersaite"/>
            <w:color w:val="000000" w:themeColor="text1"/>
            <w:sz w:val="26"/>
            <w:szCs w:val="26"/>
            <w:u w:val="none"/>
          </w:rPr>
          <w:t>https://rpp.riga.lv/personas-datu-apstrade-iepirkumos/</w:t>
        </w:r>
      </w:hyperlink>
      <w:r w:rsidRPr="00ED28F1">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1C35F1CA" w:rsidR="004961C6" w:rsidRPr="007D6BB3" w:rsidRDefault="00F13023" w:rsidP="007D6BB3">
      <w:pPr>
        <w:pStyle w:val="Sarakstarindkopa"/>
        <w:numPr>
          <w:ilvl w:val="0"/>
          <w:numId w:val="2"/>
        </w:numPr>
        <w:rPr>
          <w:sz w:val="26"/>
          <w:szCs w:val="26"/>
        </w:rPr>
      </w:pPr>
      <w:r w:rsidRPr="007D6BB3">
        <w:rPr>
          <w:sz w:val="26"/>
          <w:szCs w:val="26"/>
        </w:rPr>
        <w:t xml:space="preserve">Tehniskā specifikācija </w:t>
      </w:r>
      <w:r w:rsidR="00986F88" w:rsidRPr="007D6BB3">
        <w:rPr>
          <w:sz w:val="26"/>
          <w:szCs w:val="26"/>
        </w:rPr>
        <w:t xml:space="preserve">– Finanšu piedāvājums </w:t>
      </w:r>
      <w:r w:rsidRPr="007D6BB3">
        <w:rPr>
          <w:sz w:val="26"/>
          <w:szCs w:val="26"/>
        </w:rPr>
        <w:t xml:space="preserve">uz </w:t>
      </w:r>
      <w:r w:rsidR="00530A62">
        <w:rPr>
          <w:sz w:val="26"/>
          <w:szCs w:val="26"/>
        </w:rPr>
        <w:t>8</w:t>
      </w:r>
      <w:r w:rsidR="001F7CC5" w:rsidRPr="007D6BB3">
        <w:rPr>
          <w:sz w:val="26"/>
          <w:szCs w:val="26"/>
        </w:rPr>
        <w:t xml:space="preserve"> (</w:t>
      </w:r>
      <w:r w:rsidR="00530A62">
        <w:rPr>
          <w:sz w:val="26"/>
          <w:szCs w:val="26"/>
        </w:rPr>
        <w:t>astoņām</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D6E2E"/>
    <w:rsid w:val="002F3809"/>
    <w:rsid w:val="0030308E"/>
    <w:rsid w:val="00322467"/>
    <w:rsid w:val="00361C9C"/>
    <w:rsid w:val="003D1B03"/>
    <w:rsid w:val="00443901"/>
    <w:rsid w:val="00451A8A"/>
    <w:rsid w:val="004604DD"/>
    <w:rsid w:val="0047100F"/>
    <w:rsid w:val="00472FC8"/>
    <w:rsid w:val="004765E7"/>
    <w:rsid w:val="00491129"/>
    <w:rsid w:val="004961C6"/>
    <w:rsid w:val="004C1374"/>
    <w:rsid w:val="004D1A48"/>
    <w:rsid w:val="00530A62"/>
    <w:rsid w:val="005330C6"/>
    <w:rsid w:val="0054116F"/>
    <w:rsid w:val="00560760"/>
    <w:rsid w:val="005E01ED"/>
    <w:rsid w:val="005E6511"/>
    <w:rsid w:val="006616F6"/>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D17B6"/>
    <w:rsid w:val="007D6BB3"/>
    <w:rsid w:val="007E0D05"/>
    <w:rsid w:val="007E1021"/>
    <w:rsid w:val="00816238"/>
    <w:rsid w:val="00825B2E"/>
    <w:rsid w:val="0083432B"/>
    <w:rsid w:val="008513F3"/>
    <w:rsid w:val="00877A79"/>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D28F1"/>
    <w:rsid w:val="00EF0581"/>
    <w:rsid w:val="00EF1145"/>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varca@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s://rpp.riga.lv/personas-datu-apstrade-iepirkumos/" TargetMode="Externa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Viktorija.Osovska_Hlebina@riga.lv" TargetMode="External"/><Relationship Id="rId14" Type="http://schemas.openxmlformats.org/officeDocument/2006/relationships/hyperlink" Target="mailto:Viktorija.Osovska_Hlebina@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3173</Words>
  <Characters>1810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7</cp:revision>
  <dcterms:created xsi:type="dcterms:W3CDTF">2021-10-19T12:25:00Z</dcterms:created>
  <dcterms:modified xsi:type="dcterms:W3CDTF">2021-11-01T20:44:00Z</dcterms:modified>
</cp:coreProperties>
</file>