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678" w:type="dxa"/>
        <w:tblLook w:val="04A0" w:firstRow="1" w:lastRow="0" w:firstColumn="1" w:lastColumn="0" w:noHBand="0" w:noVBand="1"/>
      </w:tblPr>
      <w:tblGrid>
        <w:gridCol w:w="9678"/>
      </w:tblGrid>
      <w:tr w:rsidR="009B5D4E" w:rsidRPr="00AF3217" w14:paraId="2EFEDB3D" w14:textId="77777777" w:rsidTr="005458FE">
        <w:trPr>
          <w:trHeight w:val="224"/>
        </w:trPr>
        <w:tc>
          <w:tcPr>
            <w:tcW w:w="9678" w:type="dxa"/>
            <w:noWrap/>
            <w:vAlign w:val="bottom"/>
            <w:hideMark/>
          </w:tcPr>
          <w:p w14:paraId="7E8E2A6F" w14:textId="77777777" w:rsidR="009B5D4E" w:rsidRPr="00AF3217" w:rsidRDefault="009B5D4E" w:rsidP="005458FE">
            <w:pPr>
              <w:numPr>
                <w:ilvl w:val="0"/>
                <w:numId w:val="2"/>
              </w:numPr>
              <w:ind w:right="34"/>
              <w:jc w:val="right"/>
              <w:rPr>
                <w:b/>
                <w:bCs/>
                <w:sz w:val="26"/>
                <w:szCs w:val="26"/>
              </w:rPr>
            </w:pPr>
          </w:p>
        </w:tc>
      </w:tr>
      <w:tr w:rsidR="009B5D4E" w:rsidRPr="00AF3217" w14:paraId="4ED61341" w14:textId="77777777" w:rsidTr="005458FE">
        <w:trPr>
          <w:trHeight w:val="20"/>
        </w:trPr>
        <w:tc>
          <w:tcPr>
            <w:tcW w:w="9678" w:type="dxa"/>
            <w:noWrap/>
            <w:vAlign w:val="bottom"/>
          </w:tcPr>
          <w:p w14:paraId="6E9A17C0" w14:textId="77777777" w:rsidR="009B5D4E" w:rsidRPr="00FD69A2" w:rsidRDefault="009B5D4E" w:rsidP="009B5D4E">
            <w:pPr>
              <w:suppressAutoHyphens w:val="0"/>
              <w:rPr>
                <w:lang w:eastAsia="en-US"/>
              </w:rPr>
            </w:pPr>
          </w:p>
          <w:p w14:paraId="288E00E2" w14:textId="77777777" w:rsidR="009B5D4E" w:rsidRDefault="009B5D4E" w:rsidP="009B5D4E">
            <w:pPr>
              <w:suppressAutoHyphens w:val="0"/>
              <w:jc w:val="center"/>
              <w:rPr>
                <w:b/>
                <w:sz w:val="34"/>
                <w:szCs w:val="34"/>
                <w:lang w:eastAsia="en-US"/>
              </w:rPr>
            </w:pPr>
          </w:p>
          <w:p w14:paraId="6AC4B9BD" w14:textId="77777777" w:rsidR="009B5D4E" w:rsidRDefault="009B5D4E" w:rsidP="009B5D4E">
            <w:pPr>
              <w:suppressAutoHyphens w:val="0"/>
              <w:jc w:val="center"/>
              <w:rPr>
                <w:b/>
                <w:sz w:val="34"/>
                <w:szCs w:val="34"/>
                <w:lang w:eastAsia="en-US"/>
              </w:rPr>
            </w:pPr>
          </w:p>
          <w:p w14:paraId="1816671F" w14:textId="77777777" w:rsidR="009B5D4E" w:rsidRDefault="009B5D4E" w:rsidP="009B5D4E">
            <w:pPr>
              <w:suppressAutoHyphens w:val="0"/>
              <w:jc w:val="center"/>
              <w:rPr>
                <w:b/>
                <w:sz w:val="34"/>
                <w:szCs w:val="34"/>
                <w:lang w:eastAsia="en-US"/>
              </w:rPr>
            </w:pPr>
          </w:p>
          <w:p w14:paraId="2E7ED379" w14:textId="77777777" w:rsidR="009B5D4E" w:rsidRDefault="009B5D4E" w:rsidP="009B5D4E">
            <w:pPr>
              <w:suppressAutoHyphens w:val="0"/>
              <w:jc w:val="center"/>
              <w:rPr>
                <w:b/>
                <w:sz w:val="34"/>
                <w:szCs w:val="34"/>
                <w:lang w:eastAsia="en-US"/>
              </w:rPr>
            </w:pPr>
          </w:p>
          <w:p w14:paraId="5283A02C" w14:textId="77777777" w:rsidR="009B5D4E" w:rsidRDefault="009B5D4E" w:rsidP="009B5D4E">
            <w:pPr>
              <w:suppressAutoHyphens w:val="0"/>
              <w:jc w:val="center"/>
              <w:rPr>
                <w:b/>
                <w:sz w:val="34"/>
                <w:szCs w:val="34"/>
                <w:lang w:eastAsia="en-US"/>
              </w:rPr>
            </w:pPr>
          </w:p>
          <w:p w14:paraId="1EA4A24F" w14:textId="77777777" w:rsidR="009B5D4E" w:rsidRDefault="009B5D4E" w:rsidP="009B5D4E">
            <w:pPr>
              <w:suppressAutoHyphens w:val="0"/>
              <w:jc w:val="center"/>
              <w:rPr>
                <w:b/>
                <w:sz w:val="34"/>
                <w:szCs w:val="34"/>
                <w:lang w:eastAsia="en-US"/>
              </w:rPr>
            </w:pPr>
          </w:p>
          <w:p w14:paraId="2CF380E0" w14:textId="77777777" w:rsidR="009B5D4E" w:rsidRDefault="009B5D4E" w:rsidP="009B5D4E">
            <w:pPr>
              <w:suppressAutoHyphens w:val="0"/>
              <w:jc w:val="center"/>
              <w:rPr>
                <w:b/>
                <w:sz w:val="34"/>
                <w:szCs w:val="34"/>
                <w:lang w:eastAsia="en-US"/>
              </w:rPr>
            </w:pPr>
          </w:p>
          <w:p w14:paraId="14A3D27E" w14:textId="77777777" w:rsidR="009B5D4E" w:rsidRDefault="009B5D4E" w:rsidP="009B5D4E">
            <w:pPr>
              <w:suppressAutoHyphens w:val="0"/>
              <w:jc w:val="center"/>
              <w:rPr>
                <w:b/>
                <w:sz w:val="34"/>
                <w:szCs w:val="34"/>
                <w:lang w:eastAsia="en-US"/>
              </w:rPr>
            </w:pPr>
          </w:p>
          <w:p w14:paraId="6BCED954" w14:textId="77777777" w:rsidR="009B5D4E" w:rsidRDefault="009B5D4E" w:rsidP="009B5D4E">
            <w:pPr>
              <w:suppressAutoHyphens w:val="0"/>
              <w:jc w:val="center"/>
              <w:rPr>
                <w:b/>
                <w:sz w:val="34"/>
                <w:szCs w:val="34"/>
                <w:lang w:eastAsia="en-US"/>
              </w:rPr>
            </w:pPr>
          </w:p>
          <w:p w14:paraId="79745623" w14:textId="77777777" w:rsidR="009B5D4E" w:rsidRDefault="009B5D4E" w:rsidP="009B5D4E">
            <w:pPr>
              <w:suppressAutoHyphens w:val="0"/>
              <w:jc w:val="center"/>
              <w:rPr>
                <w:b/>
                <w:sz w:val="34"/>
                <w:szCs w:val="34"/>
                <w:lang w:eastAsia="en-US"/>
              </w:rPr>
            </w:pPr>
          </w:p>
          <w:p w14:paraId="7F1968D5" w14:textId="77777777" w:rsidR="009B5D4E" w:rsidRPr="00FD69A2" w:rsidRDefault="009B5D4E" w:rsidP="009B5D4E">
            <w:pPr>
              <w:suppressAutoHyphens w:val="0"/>
              <w:jc w:val="center"/>
              <w:rPr>
                <w:b/>
                <w:sz w:val="34"/>
                <w:szCs w:val="34"/>
                <w:lang w:eastAsia="en-US"/>
              </w:rPr>
            </w:pPr>
            <w:r w:rsidRPr="00FD69A2">
              <w:rPr>
                <w:b/>
                <w:sz w:val="34"/>
                <w:szCs w:val="34"/>
                <w:lang w:eastAsia="en-US"/>
              </w:rPr>
              <w:t>Tirgus izpētes dokuments</w:t>
            </w:r>
          </w:p>
          <w:p w14:paraId="0CD7B7C8" w14:textId="77777777" w:rsidR="009B5D4E" w:rsidRPr="00FD69A2" w:rsidRDefault="009B5D4E" w:rsidP="009B5D4E">
            <w:pPr>
              <w:suppressAutoHyphens w:val="0"/>
              <w:jc w:val="center"/>
              <w:rPr>
                <w:lang w:eastAsia="en-US"/>
              </w:rPr>
            </w:pPr>
          </w:p>
          <w:p w14:paraId="4AB225A2" w14:textId="77777777" w:rsidR="009B5D4E" w:rsidRPr="00FD69A2" w:rsidRDefault="009B5D4E" w:rsidP="009B5D4E">
            <w:pPr>
              <w:suppressAutoHyphens w:val="0"/>
              <w:jc w:val="center"/>
              <w:rPr>
                <w:lang w:eastAsia="en-US"/>
              </w:rPr>
            </w:pPr>
          </w:p>
          <w:p w14:paraId="2F5A979C" w14:textId="22977C0B" w:rsidR="009B5D4E" w:rsidRPr="00FD69A2" w:rsidRDefault="009B5D4E" w:rsidP="009B5D4E">
            <w:pPr>
              <w:suppressAutoHyphens w:val="0"/>
              <w:jc w:val="center"/>
              <w:rPr>
                <w:b/>
                <w:bCs/>
                <w:sz w:val="34"/>
                <w:szCs w:val="34"/>
              </w:rPr>
            </w:pPr>
            <w:r w:rsidRPr="00FD69A2">
              <w:rPr>
                <w:b/>
                <w:bCs/>
                <w:sz w:val="34"/>
                <w:szCs w:val="34"/>
              </w:rPr>
              <w:t>“</w:t>
            </w:r>
            <w:r w:rsidR="00867DF6" w:rsidRPr="00867DF6">
              <w:rPr>
                <w:b/>
                <w:bCs/>
                <w:sz w:val="34"/>
                <w:szCs w:val="34"/>
              </w:rPr>
              <w:t xml:space="preserve">Par dārza un teritorijas kopšanas tehnikas piegādi </w:t>
            </w:r>
            <w:r w:rsidRPr="00FD69A2">
              <w:rPr>
                <w:b/>
                <w:bCs/>
                <w:sz w:val="34"/>
                <w:szCs w:val="34"/>
              </w:rPr>
              <w:t>”</w:t>
            </w:r>
          </w:p>
          <w:p w14:paraId="41771AC2" w14:textId="77777777" w:rsidR="009B5D4E" w:rsidRPr="00FD69A2" w:rsidRDefault="009B5D4E" w:rsidP="009B5D4E">
            <w:pPr>
              <w:suppressAutoHyphens w:val="0"/>
              <w:rPr>
                <w:lang w:eastAsia="en-US"/>
              </w:rPr>
            </w:pPr>
          </w:p>
          <w:p w14:paraId="114A4B36" w14:textId="789A2D57" w:rsidR="009B5D4E" w:rsidRPr="00FD69A2" w:rsidRDefault="009B5D4E" w:rsidP="009B5D4E">
            <w:pPr>
              <w:suppressAutoHyphens w:val="0"/>
              <w:jc w:val="center"/>
              <w:rPr>
                <w:sz w:val="34"/>
                <w:szCs w:val="34"/>
                <w:lang w:eastAsia="en-US"/>
              </w:rPr>
            </w:pPr>
            <w:r w:rsidRPr="00D26710">
              <w:rPr>
                <w:sz w:val="34"/>
                <w:szCs w:val="34"/>
                <w:lang w:eastAsia="en-US"/>
              </w:rPr>
              <w:t>(Paziņojums par tirgus izpēti Nr.</w:t>
            </w:r>
            <w:r w:rsidR="00867DF6">
              <w:rPr>
                <w:sz w:val="34"/>
                <w:szCs w:val="34"/>
                <w:lang w:eastAsia="en-US"/>
              </w:rPr>
              <w:t>16</w:t>
            </w:r>
            <w:r w:rsidRPr="00D26710">
              <w:rPr>
                <w:sz w:val="34"/>
                <w:szCs w:val="34"/>
                <w:lang w:eastAsia="en-US"/>
              </w:rPr>
              <w:t>)</w:t>
            </w:r>
          </w:p>
          <w:p w14:paraId="6A341C13" w14:textId="77777777" w:rsidR="009B5D4E" w:rsidRPr="00FD69A2" w:rsidRDefault="009B5D4E" w:rsidP="009B5D4E">
            <w:pPr>
              <w:suppressAutoHyphens w:val="0"/>
              <w:rPr>
                <w:lang w:eastAsia="en-US"/>
              </w:rPr>
            </w:pPr>
          </w:p>
          <w:p w14:paraId="6C25ED5A" w14:textId="77777777" w:rsidR="009B5D4E" w:rsidRPr="00FD69A2" w:rsidRDefault="009B5D4E" w:rsidP="009B5D4E">
            <w:pPr>
              <w:suppressAutoHyphens w:val="0"/>
              <w:rPr>
                <w:lang w:eastAsia="en-US"/>
              </w:rPr>
            </w:pPr>
          </w:p>
          <w:p w14:paraId="060F777B" w14:textId="77777777" w:rsidR="009B5D4E" w:rsidRPr="00FD69A2" w:rsidRDefault="009B5D4E" w:rsidP="009B5D4E">
            <w:pPr>
              <w:suppressAutoHyphens w:val="0"/>
              <w:rPr>
                <w:lang w:eastAsia="en-US"/>
              </w:rPr>
            </w:pPr>
          </w:p>
          <w:p w14:paraId="1A675ECF" w14:textId="77777777" w:rsidR="009B5D4E" w:rsidRPr="00FD69A2" w:rsidRDefault="009B5D4E" w:rsidP="009B5D4E">
            <w:pPr>
              <w:suppressAutoHyphens w:val="0"/>
              <w:rPr>
                <w:lang w:eastAsia="en-US"/>
              </w:rPr>
            </w:pPr>
          </w:p>
          <w:p w14:paraId="0AACFCBA" w14:textId="77777777" w:rsidR="009B5D4E" w:rsidRPr="00FD69A2" w:rsidRDefault="009B5D4E" w:rsidP="009B5D4E">
            <w:pPr>
              <w:suppressAutoHyphens w:val="0"/>
              <w:rPr>
                <w:lang w:eastAsia="en-US"/>
              </w:rPr>
            </w:pPr>
          </w:p>
          <w:p w14:paraId="296810A9" w14:textId="77777777" w:rsidR="009B5D4E" w:rsidRPr="00FD69A2" w:rsidRDefault="009B5D4E" w:rsidP="009B5D4E">
            <w:pPr>
              <w:suppressAutoHyphens w:val="0"/>
              <w:rPr>
                <w:lang w:eastAsia="en-US"/>
              </w:rPr>
            </w:pPr>
          </w:p>
          <w:p w14:paraId="1853F9DD" w14:textId="77777777" w:rsidR="009B5D4E" w:rsidRPr="00FD69A2" w:rsidRDefault="009B5D4E" w:rsidP="009B5D4E">
            <w:pPr>
              <w:suppressAutoHyphens w:val="0"/>
              <w:rPr>
                <w:lang w:eastAsia="en-US"/>
              </w:rPr>
            </w:pPr>
          </w:p>
          <w:p w14:paraId="68A55E49" w14:textId="77777777" w:rsidR="009B5D4E" w:rsidRPr="00FD69A2" w:rsidRDefault="009B5D4E" w:rsidP="009B5D4E">
            <w:pPr>
              <w:suppressAutoHyphens w:val="0"/>
              <w:rPr>
                <w:lang w:eastAsia="en-US"/>
              </w:rPr>
            </w:pPr>
          </w:p>
          <w:p w14:paraId="2B1F0FE8" w14:textId="77777777" w:rsidR="009B5D4E" w:rsidRPr="00FD69A2" w:rsidRDefault="009B5D4E" w:rsidP="009B5D4E">
            <w:pPr>
              <w:suppressAutoHyphens w:val="0"/>
              <w:rPr>
                <w:lang w:eastAsia="en-US"/>
              </w:rPr>
            </w:pPr>
          </w:p>
          <w:p w14:paraId="61B1F4A5" w14:textId="77777777" w:rsidR="009B5D4E" w:rsidRPr="00FD69A2" w:rsidRDefault="009B5D4E" w:rsidP="009B5D4E">
            <w:pPr>
              <w:suppressAutoHyphens w:val="0"/>
              <w:rPr>
                <w:lang w:eastAsia="en-US"/>
              </w:rPr>
            </w:pPr>
          </w:p>
          <w:p w14:paraId="31E3B2C3" w14:textId="77777777" w:rsidR="009B5D4E" w:rsidRPr="00FD69A2" w:rsidRDefault="009B5D4E" w:rsidP="009B5D4E">
            <w:pPr>
              <w:suppressAutoHyphens w:val="0"/>
              <w:rPr>
                <w:lang w:eastAsia="en-US"/>
              </w:rPr>
            </w:pPr>
          </w:p>
          <w:p w14:paraId="074DBC29" w14:textId="77777777" w:rsidR="009B5D4E" w:rsidRPr="00FD69A2" w:rsidRDefault="009B5D4E" w:rsidP="009B5D4E">
            <w:pPr>
              <w:suppressAutoHyphens w:val="0"/>
              <w:rPr>
                <w:lang w:eastAsia="en-US"/>
              </w:rPr>
            </w:pPr>
          </w:p>
          <w:p w14:paraId="4C3828CA" w14:textId="77777777" w:rsidR="009B5D4E" w:rsidRPr="00FD69A2" w:rsidRDefault="009B5D4E" w:rsidP="009B5D4E">
            <w:pPr>
              <w:suppressAutoHyphens w:val="0"/>
              <w:rPr>
                <w:lang w:eastAsia="en-US"/>
              </w:rPr>
            </w:pPr>
          </w:p>
          <w:p w14:paraId="2181BA8E" w14:textId="77777777" w:rsidR="009B5D4E" w:rsidRPr="00FD69A2" w:rsidRDefault="009B5D4E" w:rsidP="009B5D4E">
            <w:pPr>
              <w:suppressAutoHyphens w:val="0"/>
              <w:rPr>
                <w:lang w:eastAsia="en-US"/>
              </w:rPr>
            </w:pPr>
          </w:p>
          <w:p w14:paraId="6093A56B" w14:textId="77777777" w:rsidR="009B5D4E" w:rsidRPr="00FD69A2" w:rsidRDefault="009B5D4E" w:rsidP="009B5D4E">
            <w:pPr>
              <w:suppressAutoHyphens w:val="0"/>
              <w:rPr>
                <w:lang w:eastAsia="en-US"/>
              </w:rPr>
            </w:pPr>
          </w:p>
          <w:p w14:paraId="1B3DDC08" w14:textId="77777777" w:rsidR="009B5D4E" w:rsidRPr="00FD69A2" w:rsidRDefault="009B5D4E" w:rsidP="009B5D4E">
            <w:pPr>
              <w:suppressAutoHyphens w:val="0"/>
              <w:rPr>
                <w:lang w:eastAsia="en-US"/>
              </w:rPr>
            </w:pPr>
          </w:p>
          <w:p w14:paraId="2F2ED06F" w14:textId="2157AEB9" w:rsidR="009B5D4E" w:rsidRDefault="009B5D4E" w:rsidP="009B5D4E">
            <w:pPr>
              <w:suppressAutoHyphens w:val="0"/>
              <w:rPr>
                <w:lang w:eastAsia="en-US"/>
              </w:rPr>
            </w:pPr>
          </w:p>
          <w:p w14:paraId="3BD6B737" w14:textId="373F81D0" w:rsidR="00867DF6" w:rsidRDefault="00867DF6" w:rsidP="009B5D4E">
            <w:pPr>
              <w:suppressAutoHyphens w:val="0"/>
              <w:rPr>
                <w:lang w:eastAsia="en-US"/>
              </w:rPr>
            </w:pPr>
          </w:p>
          <w:p w14:paraId="1A63D152" w14:textId="77777777" w:rsidR="00867DF6" w:rsidRPr="00FD69A2" w:rsidRDefault="00867DF6" w:rsidP="009B5D4E">
            <w:pPr>
              <w:suppressAutoHyphens w:val="0"/>
              <w:rPr>
                <w:lang w:eastAsia="en-US"/>
              </w:rPr>
            </w:pPr>
          </w:p>
          <w:p w14:paraId="31FF0EA3" w14:textId="77777777" w:rsidR="009B5D4E" w:rsidRPr="00FD69A2" w:rsidRDefault="009B5D4E" w:rsidP="009B5D4E">
            <w:pPr>
              <w:suppressAutoHyphens w:val="0"/>
              <w:rPr>
                <w:lang w:eastAsia="en-US"/>
              </w:rPr>
            </w:pPr>
          </w:p>
          <w:p w14:paraId="20E154AA" w14:textId="77777777" w:rsidR="009B5D4E" w:rsidRPr="00FD69A2" w:rsidRDefault="009B5D4E" w:rsidP="009B5D4E">
            <w:pPr>
              <w:suppressAutoHyphens w:val="0"/>
              <w:rPr>
                <w:lang w:eastAsia="en-US"/>
              </w:rPr>
            </w:pPr>
          </w:p>
          <w:p w14:paraId="7F79C23D" w14:textId="77777777" w:rsidR="009B5D4E" w:rsidRPr="00FD69A2" w:rsidRDefault="009B5D4E" w:rsidP="009B5D4E">
            <w:pPr>
              <w:suppressAutoHyphens w:val="0"/>
              <w:rPr>
                <w:lang w:eastAsia="en-US"/>
              </w:rPr>
            </w:pPr>
          </w:p>
          <w:p w14:paraId="7D1D9F1C" w14:textId="77777777" w:rsidR="009B5D4E" w:rsidRPr="00FD69A2" w:rsidRDefault="009B5D4E" w:rsidP="009B5D4E">
            <w:pPr>
              <w:suppressAutoHyphens w:val="0"/>
              <w:rPr>
                <w:lang w:eastAsia="en-US"/>
              </w:rPr>
            </w:pPr>
          </w:p>
          <w:p w14:paraId="746DE63C" w14:textId="77777777" w:rsidR="009B5D4E" w:rsidRDefault="009B5D4E" w:rsidP="009B5D4E">
            <w:pPr>
              <w:suppressAutoHyphens w:val="0"/>
              <w:rPr>
                <w:lang w:eastAsia="en-US"/>
              </w:rPr>
            </w:pPr>
          </w:p>
          <w:p w14:paraId="37268FBF" w14:textId="77777777" w:rsidR="009B5D4E" w:rsidRDefault="009B5D4E" w:rsidP="009B5D4E">
            <w:pPr>
              <w:suppressAutoHyphens w:val="0"/>
              <w:rPr>
                <w:lang w:eastAsia="en-US"/>
              </w:rPr>
            </w:pPr>
          </w:p>
          <w:p w14:paraId="5D656747" w14:textId="77777777" w:rsidR="009B5D4E" w:rsidRPr="00FD69A2" w:rsidRDefault="009B5D4E" w:rsidP="009B5D4E">
            <w:pPr>
              <w:suppressAutoHyphens w:val="0"/>
              <w:rPr>
                <w:lang w:eastAsia="en-US"/>
              </w:rPr>
            </w:pPr>
          </w:p>
          <w:p w14:paraId="16380748" w14:textId="77777777" w:rsidR="009B5D4E" w:rsidRPr="00FD69A2" w:rsidRDefault="009B5D4E" w:rsidP="009B5D4E">
            <w:pPr>
              <w:suppressAutoHyphens w:val="0"/>
              <w:rPr>
                <w:lang w:eastAsia="en-US"/>
              </w:rPr>
            </w:pPr>
          </w:p>
          <w:p w14:paraId="7E7C0BA0" w14:textId="77777777" w:rsidR="009B5D4E" w:rsidRPr="00FD69A2" w:rsidRDefault="009B5D4E" w:rsidP="009B5D4E">
            <w:pPr>
              <w:suppressAutoHyphens w:val="0"/>
              <w:jc w:val="center"/>
              <w:rPr>
                <w:lang w:eastAsia="en-US"/>
              </w:rPr>
            </w:pPr>
          </w:p>
          <w:p w14:paraId="77D6FB59" w14:textId="77777777" w:rsidR="009B5D4E" w:rsidRPr="00FD69A2" w:rsidRDefault="009B5D4E" w:rsidP="009B5D4E">
            <w:pPr>
              <w:suppressAutoHyphens w:val="0"/>
              <w:jc w:val="center"/>
              <w:rPr>
                <w:sz w:val="25"/>
                <w:szCs w:val="25"/>
                <w:lang w:eastAsia="en-US"/>
              </w:rPr>
            </w:pPr>
            <w:r w:rsidRPr="00FD69A2">
              <w:rPr>
                <w:sz w:val="25"/>
                <w:szCs w:val="25"/>
                <w:lang w:eastAsia="en-US"/>
              </w:rPr>
              <w:t>Rīga, 2019</w:t>
            </w:r>
          </w:p>
          <w:p w14:paraId="022D70D5" w14:textId="77777777" w:rsidR="009B5D4E" w:rsidRPr="00AF3217" w:rsidRDefault="009B5D4E" w:rsidP="005458FE">
            <w:pPr>
              <w:jc w:val="both"/>
              <w:rPr>
                <w:spacing w:val="-6"/>
                <w:sz w:val="26"/>
                <w:szCs w:val="26"/>
                <w:lang w:eastAsia="lv-LV"/>
              </w:rPr>
            </w:pPr>
          </w:p>
          <w:p w14:paraId="244E3B4D" w14:textId="77777777" w:rsidR="009B5D4E" w:rsidRPr="00AF3217" w:rsidRDefault="009B5D4E" w:rsidP="005458FE">
            <w:pPr>
              <w:widowControl w:val="0"/>
              <w:numPr>
                <w:ilvl w:val="0"/>
                <w:numId w:val="4"/>
              </w:numPr>
              <w:suppressAutoHyphens w:val="0"/>
              <w:autoSpaceDE w:val="0"/>
              <w:autoSpaceDN w:val="0"/>
              <w:adjustRightInd w:val="0"/>
              <w:jc w:val="center"/>
              <w:outlineLvl w:val="1"/>
              <w:rPr>
                <w:b/>
                <w:bCs/>
                <w:sz w:val="26"/>
                <w:szCs w:val="26"/>
                <w:lang w:eastAsia="lv-LV"/>
              </w:rPr>
            </w:pPr>
            <w:bookmarkStart w:id="0" w:name="_Toc340760682"/>
            <w:r w:rsidRPr="00AF3217">
              <w:rPr>
                <w:b/>
                <w:bCs/>
                <w:sz w:val="26"/>
                <w:szCs w:val="26"/>
                <w:lang w:eastAsia="lv-LV"/>
              </w:rPr>
              <w:t>VISPĀRĪGĀ INFORMĀCIJA</w:t>
            </w:r>
            <w:bookmarkEnd w:id="0"/>
            <w:r w:rsidRPr="00AF3217">
              <w:rPr>
                <w:b/>
                <w:bCs/>
                <w:sz w:val="26"/>
                <w:szCs w:val="26"/>
                <w:lang w:eastAsia="lv-LV"/>
              </w:rPr>
              <w:t>:</w:t>
            </w:r>
          </w:p>
          <w:p w14:paraId="6845BAFC" w14:textId="6F42978B" w:rsidR="009B5D4E" w:rsidRPr="00AF3217" w:rsidRDefault="009B5D4E" w:rsidP="00142175">
            <w:pPr>
              <w:widowControl w:val="0"/>
              <w:numPr>
                <w:ilvl w:val="1"/>
                <w:numId w:val="3"/>
              </w:numPr>
              <w:tabs>
                <w:tab w:val="left" w:pos="423"/>
                <w:tab w:val="left" w:pos="1172"/>
              </w:tabs>
              <w:suppressAutoHyphens w:val="0"/>
              <w:autoSpaceDE w:val="0"/>
              <w:autoSpaceDN w:val="0"/>
              <w:adjustRightInd w:val="0"/>
              <w:ind w:left="0" w:firstLine="747"/>
              <w:jc w:val="both"/>
              <w:rPr>
                <w:bCs/>
                <w:sz w:val="26"/>
                <w:szCs w:val="26"/>
                <w:lang w:eastAsia="lv-LV"/>
              </w:rPr>
            </w:pPr>
            <w:r w:rsidRPr="00AF3217">
              <w:rPr>
                <w:b/>
                <w:bCs/>
                <w:sz w:val="26"/>
                <w:szCs w:val="26"/>
                <w:lang w:eastAsia="lv-LV"/>
              </w:rPr>
              <w:t xml:space="preserve">Pasūtītājs - </w:t>
            </w:r>
            <w:r w:rsidRPr="00AF3217">
              <w:rPr>
                <w:bCs/>
                <w:sz w:val="26"/>
                <w:szCs w:val="26"/>
                <w:lang w:eastAsia="lv-LV"/>
              </w:rPr>
              <w:t>Rīgas pašvaldības policija, Lomonosova iela 12A, Rīga, LV-1019, banka:</w:t>
            </w:r>
            <w:r w:rsidR="000E3A83">
              <w:rPr>
                <w:bCs/>
                <w:sz w:val="26"/>
                <w:szCs w:val="26"/>
                <w:lang w:eastAsia="lv-LV"/>
              </w:rPr>
              <w:t xml:space="preserve"> </w:t>
            </w:r>
            <w:r w:rsidR="00BA3C22" w:rsidRPr="00BA3C22">
              <w:rPr>
                <w:bCs/>
                <w:sz w:val="26"/>
                <w:szCs w:val="26"/>
                <w:lang w:eastAsia="lv-LV"/>
              </w:rPr>
              <w:t>AS ”</w:t>
            </w:r>
            <w:proofErr w:type="spellStart"/>
            <w:r w:rsidR="00BA3C22" w:rsidRPr="00BA3C22">
              <w:rPr>
                <w:bCs/>
                <w:sz w:val="26"/>
                <w:szCs w:val="26"/>
                <w:lang w:eastAsia="lv-LV"/>
              </w:rPr>
              <w:t>Luminor</w:t>
            </w:r>
            <w:proofErr w:type="spellEnd"/>
            <w:r w:rsidR="00BA3C22" w:rsidRPr="00BA3C22">
              <w:rPr>
                <w:bCs/>
                <w:sz w:val="26"/>
                <w:szCs w:val="26"/>
                <w:lang w:eastAsia="lv-LV"/>
              </w:rPr>
              <w:t xml:space="preserve"> </w:t>
            </w:r>
            <w:proofErr w:type="spellStart"/>
            <w:r w:rsidR="00BA3C22" w:rsidRPr="00BA3C22">
              <w:rPr>
                <w:bCs/>
                <w:sz w:val="26"/>
                <w:szCs w:val="26"/>
                <w:lang w:eastAsia="lv-LV"/>
              </w:rPr>
              <w:t>Bank</w:t>
            </w:r>
            <w:proofErr w:type="spellEnd"/>
            <w:r w:rsidR="00BA3C22" w:rsidRPr="00BA3C22">
              <w:rPr>
                <w:bCs/>
                <w:sz w:val="26"/>
                <w:szCs w:val="26"/>
                <w:lang w:eastAsia="lv-LV"/>
              </w:rPr>
              <w:t>” Latvijas filiāle, kods: NDEALV2X, konts: LV82NDEA0021800014010</w:t>
            </w:r>
            <w:r w:rsidRPr="00AF3217">
              <w:rPr>
                <w:bCs/>
                <w:sz w:val="26"/>
                <w:szCs w:val="26"/>
                <w:lang w:eastAsia="lv-LV"/>
              </w:rPr>
              <w:t xml:space="preserve">. </w:t>
            </w:r>
            <w:r w:rsidRPr="00AF3217">
              <w:rPr>
                <w:sz w:val="26"/>
                <w:szCs w:val="26"/>
                <w:lang w:eastAsia="lv-LV"/>
              </w:rPr>
              <w:t xml:space="preserve">Profila adrese internetā: </w:t>
            </w:r>
            <w:hyperlink r:id="rId8" w:history="1">
              <w:r w:rsidRPr="000E3A83">
                <w:rPr>
                  <w:sz w:val="26"/>
                  <w:szCs w:val="26"/>
                  <w:lang w:eastAsia="lv-LV"/>
                </w:rPr>
                <w:t>rpp.riga.lv</w:t>
              </w:r>
            </w:hyperlink>
            <w:r w:rsidRPr="000E3A83">
              <w:rPr>
                <w:sz w:val="26"/>
                <w:szCs w:val="26"/>
                <w:lang w:eastAsia="lv-LV"/>
              </w:rPr>
              <w:t>.</w:t>
            </w:r>
            <w:r w:rsidRPr="00AF3217">
              <w:rPr>
                <w:sz w:val="26"/>
                <w:szCs w:val="26"/>
                <w:lang w:eastAsia="lv-LV"/>
              </w:rPr>
              <w:t xml:space="preserve"> Darba laiks – darba dienās no plkst.</w:t>
            </w:r>
            <w:r w:rsidR="00D26710">
              <w:rPr>
                <w:sz w:val="26"/>
                <w:szCs w:val="26"/>
                <w:lang w:eastAsia="lv-LV"/>
              </w:rPr>
              <w:t xml:space="preserve"> </w:t>
            </w:r>
            <w:r w:rsidRPr="00AF3217">
              <w:rPr>
                <w:sz w:val="26"/>
                <w:szCs w:val="26"/>
                <w:lang w:eastAsia="lv-LV"/>
              </w:rPr>
              <w:t>8.00 līdz plkst.</w:t>
            </w:r>
            <w:r w:rsidR="00D26710">
              <w:rPr>
                <w:sz w:val="26"/>
                <w:szCs w:val="26"/>
                <w:lang w:eastAsia="lv-LV"/>
              </w:rPr>
              <w:t xml:space="preserve"> </w:t>
            </w:r>
            <w:r w:rsidRPr="00AF3217">
              <w:rPr>
                <w:sz w:val="26"/>
                <w:szCs w:val="26"/>
                <w:lang w:eastAsia="lv-LV"/>
              </w:rPr>
              <w:t>16.30, (pusdienu pārtraukums no plkst.</w:t>
            </w:r>
            <w:r w:rsidR="00D26710">
              <w:rPr>
                <w:sz w:val="26"/>
                <w:szCs w:val="26"/>
                <w:lang w:eastAsia="lv-LV"/>
              </w:rPr>
              <w:t xml:space="preserve"> </w:t>
            </w:r>
            <w:r w:rsidRPr="00AF3217">
              <w:rPr>
                <w:sz w:val="26"/>
                <w:szCs w:val="26"/>
                <w:lang w:eastAsia="lv-LV"/>
              </w:rPr>
              <w:t>12.00 līdz plkst.</w:t>
            </w:r>
            <w:r w:rsidR="00D26710">
              <w:rPr>
                <w:sz w:val="26"/>
                <w:szCs w:val="26"/>
                <w:lang w:eastAsia="lv-LV"/>
              </w:rPr>
              <w:t xml:space="preserve"> </w:t>
            </w:r>
            <w:r w:rsidRPr="00AF3217">
              <w:rPr>
                <w:sz w:val="26"/>
                <w:szCs w:val="26"/>
                <w:lang w:eastAsia="lv-LV"/>
              </w:rPr>
              <w:t>12.30).</w:t>
            </w:r>
          </w:p>
          <w:p w14:paraId="5623475D" w14:textId="7146B41D" w:rsidR="009B5D4E" w:rsidRPr="004D4409" w:rsidRDefault="009B5D4E" w:rsidP="00142175">
            <w:pPr>
              <w:widowControl w:val="0"/>
              <w:numPr>
                <w:ilvl w:val="1"/>
                <w:numId w:val="3"/>
              </w:numPr>
              <w:tabs>
                <w:tab w:val="left" w:pos="423"/>
                <w:tab w:val="left" w:pos="1172"/>
              </w:tabs>
              <w:suppressAutoHyphens w:val="0"/>
              <w:autoSpaceDE w:val="0"/>
              <w:autoSpaceDN w:val="0"/>
              <w:adjustRightInd w:val="0"/>
              <w:spacing w:before="100" w:beforeAutospacing="1" w:after="100" w:afterAutospacing="1"/>
              <w:ind w:left="0" w:firstLine="747"/>
              <w:jc w:val="both"/>
              <w:rPr>
                <w:bCs/>
                <w:sz w:val="26"/>
                <w:szCs w:val="26"/>
                <w:lang w:eastAsia="lv-LV"/>
              </w:rPr>
            </w:pPr>
            <w:r w:rsidRPr="00AF3217">
              <w:rPr>
                <w:b/>
                <w:bCs/>
                <w:color w:val="000000"/>
                <w:sz w:val="26"/>
                <w:szCs w:val="26"/>
                <w:lang w:eastAsia="lv-LV"/>
              </w:rPr>
              <w:t>Piedāvājumu iesniegšana</w:t>
            </w:r>
            <w:r w:rsidRPr="00AF3217">
              <w:rPr>
                <w:bCs/>
                <w:color w:val="000000"/>
                <w:sz w:val="26"/>
                <w:szCs w:val="26"/>
                <w:lang w:eastAsia="lv-LV"/>
              </w:rPr>
              <w:t>:</w:t>
            </w:r>
            <w:r w:rsidRPr="00AF3217">
              <w:rPr>
                <w:color w:val="000000"/>
                <w:sz w:val="26"/>
                <w:szCs w:val="26"/>
                <w:lang w:eastAsia="lv-LV"/>
              </w:rPr>
              <w:t xml:space="preserve"> Piegādātājs piedāvājumu var iesniegt nosūtot to uz e-pastu – </w:t>
            </w:r>
            <w:r w:rsidR="00867DF6" w:rsidRPr="00867DF6">
              <w:rPr>
                <w:sz w:val="26"/>
                <w:szCs w:val="26"/>
                <w:lang w:eastAsia="lv-LV"/>
              </w:rPr>
              <w:t>A</w:t>
            </w:r>
            <w:r w:rsidR="00867DF6" w:rsidRPr="00867DF6">
              <w:rPr>
                <w:lang w:eastAsia="lv-LV"/>
              </w:rPr>
              <w:t>ndrejs.Vessers</w:t>
            </w:r>
            <w:r w:rsidR="000E3A83" w:rsidRPr="00867DF6">
              <w:rPr>
                <w:sz w:val="26"/>
                <w:szCs w:val="26"/>
                <w:lang w:eastAsia="lv-LV"/>
              </w:rPr>
              <w:t>@riga.lv</w:t>
            </w:r>
            <w:r w:rsidRPr="000E3A83">
              <w:rPr>
                <w:sz w:val="26"/>
                <w:szCs w:val="26"/>
                <w:lang w:eastAsia="lv-LV"/>
              </w:rPr>
              <w:t>,</w:t>
            </w:r>
            <w:r w:rsidRPr="00AF3217">
              <w:rPr>
                <w:color w:val="000000"/>
                <w:sz w:val="26"/>
                <w:szCs w:val="26"/>
                <w:lang w:eastAsia="lv-LV"/>
              </w:rPr>
              <w:t xml:space="preserve"> vai iesniedzot personīgi Lomonosova ielā 12A, Rīgā, 39.kabinetā, </w:t>
            </w:r>
            <w:r w:rsidRPr="00AF3217">
              <w:rPr>
                <w:b/>
                <w:bCs/>
                <w:color w:val="000000"/>
                <w:sz w:val="26"/>
                <w:szCs w:val="26"/>
                <w:lang w:eastAsia="lv-LV"/>
              </w:rPr>
              <w:t xml:space="preserve">līdz </w:t>
            </w:r>
            <w:r w:rsidRPr="004D4409">
              <w:rPr>
                <w:b/>
                <w:bCs/>
                <w:sz w:val="26"/>
                <w:szCs w:val="26"/>
                <w:lang w:eastAsia="lv-LV"/>
              </w:rPr>
              <w:t>201</w:t>
            </w:r>
            <w:r w:rsidR="000E3A83" w:rsidRPr="004D4409">
              <w:rPr>
                <w:b/>
                <w:bCs/>
                <w:sz w:val="26"/>
                <w:szCs w:val="26"/>
                <w:lang w:eastAsia="lv-LV"/>
              </w:rPr>
              <w:t>9</w:t>
            </w:r>
            <w:r w:rsidRPr="004D4409">
              <w:rPr>
                <w:b/>
                <w:bCs/>
                <w:sz w:val="26"/>
                <w:szCs w:val="26"/>
                <w:lang w:eastAsia="lv-LV"/>
              </w:rPr>
              <w:t xml:space="preserve">. gada </w:t>
            </w:r>
            <w:r w:rsidR="00867DF6">
              <w:rPr>
                <w:b/>
                <w:bCs/>
                <w:sz w:val="26"/>
                <w:szCs w:val="26"/>
                <w:lang w:eastAsia="lv-LV"/>
              </w:rPr>
              <w:t>1</w:t>
            </w:r>
            <w:r w:rsidR="004D4409" w:rsidRPr="004D4409">
              <w:rPr>
                <w:b/>
                <w:bCs/>
                <w:sz w:val="26"/>
                <w:szCs w:val="26"/>
                <w:lang w:eastAsia="lv-LV"/>
              </w:rPr>
              <w:t>1</w:t>
            </w:r>
            <w:r w:rsidRPr="004D4409">
              <w:rPr>
                <w:b/>
                <w:bCs/>
                <w:sz w:val="26"/>
                <w:szCs w:val="26"/>
                <w:lang w:eastAsia="lv-LV"/>
              </w:rPr>
              <w:t>.</w:t>
            </w:r>
            <w:r w:rsidR="00867DF6">
              <w:rPr>
                <w:b/>
                <w:bCs/>
                <w:sz w:val="26"/>
                <w:szCs w:val="26"/>
                <w:lang w:eastAsia="lv-LV"/>
              </w:rPr>
              <w:t>oktobrim</w:t>
            </w:r>
            <w:r w:rsidRPr="004D4409">
              <w:rPr>
                <w:b/>
                <w:bCs/>
                <w:sz w:val="26"/>
                <w:szCs w:val="26"/>
                <w:lang w:eastAsia="lv-LV"/>
              </w:rPr>
              <w:t xml:space="preserve"> </w:t>
            </w:r>
            <w:r w:rsidRPr="004D4409">
              <w:rPr>
                <w:b/>
                <w:bCs/>
                <w:color w:val="000000"/>
                <w:sz w:val="26"/>
                <w:szCs w:val="26"/>
                <w:lang w:eastAsia="lv-LV"/>
              </w:rPr>
              <w:t>plkst. 1</w:t>
            </w:r>
            <w:r w:rsidR="00867DF6">
              <w:rPr>
                <w:b/>
                <w:bCs/>
                <w:color w:val="000000"/>
                <w:sz w:val="26"/>
                <w:szCs w:val="26"/>
                <w:lang w:eastAsia="lv-LV"/>
              </w:rPr>
              <w:t>2</w:t>
            </w:r>
            <w:r w:rsidRPr="004D4409">
              <w:rPr>
                <w:b/>
                <w:bCs/>
                <w:color w:val="000000"/>
                <w:sz w:val="26"/>
                <w:szCs w:val="26"/>
                <w:lang w:eastAsia="lv-LV"/>
              </w:rPr>
              <w:t>.00.</w:t>
            </w:r>
          </w:p>
          <w:p w14:paraId="22759141" w14:textId="77777777" w:rsidR="009B5D4E" w:rsidRPr="00AF3217" w:rsidRDefault="009B5D4E" w:rsidP="005458FE">
            <w:pPr>
              <w:widowControl w:val="0"/>
              <w:suppressAutoHyphens w:val="0"/>
              <w:autoSpaceDE w:val="0"/>
              <w:autoSpaceDN w:val="0"/>
              <w:adjustRightInd w:val="0"/>
              <w:ind w:left="709"/>
              <w:jc w:val="both"/>
              <w:rPr>
                <w:b/>
                <w:bCs/>
                <w:color w:val="000000"/>
                <w:sz w:val="26"/>
                <w:szCs w:val="26"/>
                <w:lang w:eastAsia="lv-LV"/>
              </w:rPr>
            </w:pPr>
          </w:p>
          <w:p w14:paraId="1352359F" w14:textId="77777777" w:rsidR="009B5D4E" w:rsidRPr="00AF3217" w:rsidRDefault="009B5D4E" w:rsidP="005458FE">
            <w:pPr>
              <w:jc w:val="center"/>
              <w:rPr>
                <w:b/>
                <w:spacing w:val="-6"/>
                <w:sz w:val="26"/>
                <w:szCs w:val="26"/>
                <w:lang w:eastAsia="lv-LV"/>
              </w:rPr>
            </w:pPr>
            <w:r w:rsidRPr="00AF3217">
              <w:rPr>
                <w:b/>
                <w:spacing w:val="-6"/>
                <w:sz w:val="26"/>
                <w:szCs w:val="26"/>
                <w:lang w:eastAsia="lv-LV"/>
              </w:rPr>
              <w:t>2. INFORMĀCIJA PAR IEPIRKUMA PRIEKŠMETU:</w:t>
            </w:r>
          </w:p>
          <w:p w14:paraId="53DFC16B" w14:textId="1BB9DE25" w:rsidR="009B5D4E" w:rsidRPr="00AF3217" w:rsidRDefault="009B5D4E" w:rsidP="00142175">
            <w:pPr>
              <w:suppressAutoHyphens w:val="0"/>
              <w:ind w:firstLine="747"/>
              <w:jc w:val="both"/>
              <w:rPr>
                <w:sz w:val="26"/>
                <w:szCs w:val="26"/>
              </w:rPr>
            </w:pPr>
            <w:r w:rsidRPr="00AF3217">
              <w:rPr>
                <w:b/>
                <w:spacing w:val="-6"/>
                <w:sz w:val="26"/>
                <w:szCs w:val="26"/>
                <w:lang w:eastAsia="lv-LV"/>
              </w:rPr>
              <w:t xml:space="preserve"> 2.1. Iepirkuma priekšmets</w:t>
            </w:r>
            <w:r w:rsidRPr="00AF3217">
              <w:rPr>
                <w:spacing w:val="-6"/>
                <w:sz w:val="26"/>
                <w:szCs w:val="26"/>
                <w:lang w:eastAsia="lv-LV"/>
              </w:rPr>
              <w:t xml:space="preserve"> – </w:t>
            </w:r>
            <w:r w:rsidR="00867DF6">
              <w:t xml:space="preserve"> </w:t>
            </w:r>
            <w:r w:rsidR="00867DF6">
              <w:rPr>
                <w:sz w:val="26"/>
                <w:szCs w:val="26"/>
              </w:rPr>
              <w:t>D</w:t>
            </w:r>
            <w:r w:rsidR="00867DF6" w:rsidRPr="00867DF6">
              <w:rPr>
                <w:sz w:val="26"/>
                <w:szCs w:val="26"/>
              </w:rPr>
              <w:t>ārza un teritorijas kopšanas tehnikas piegād</w:t>
            </w:r>
            <w:r w:rsidR="00867DF6">
              <w:rPr>
                <w:sz w:val="26"/>
                <w:szCs w:val="26"/>
              </w:rPr>
              <w:t>e</w:t>
            </w:r>
            <w:r w:rsidRPr="00AF3217">
              <w:rPr>
                <w:sz w:val="26"/>
                <w:szCs w:val="26"/>
              </w:rPr>
              <w:t>.</w:t>
            </w:r>
          </w:p>
          <w:p w14:paraId="4A0C099A" w14:textId="15EE400E" w:rsidR="009B5D4E" w:rsidRPr="00AF3217" w:rsidRDefault="009B5D4E" w:rsidP="00142175">
            <w:pPr>
              <w:suppressAutoHyphens w:val="0"/>
              <w:ind w:firstLine="747"/>
              <w:jc w:val="both"/>
              <w:rPr>
                <w:sz w:val="26"/>
                <w:szCs w:val="26"/>
                <w:lang w:eastAsia="lv-LV"/>
              </w:rPr>
            </w:pPr>
            <w:r w:rsidRPr="00AF3217">
              <w:rPr>
                <w:b/>
                <w:sz w:val="26"/>
                <w:szCs w:val="26"/>
              </w:rPr>
              <w:t xml:space="preserve"> 2.2. Paredzamais līguma izpildes laiks</w:t>
            </w:r>
            <w:r w:rsidRPr="00AF3217">
              <w:rPr>
                <w:sz w:val="26"/>
                <w:szCs w:val="26"/>
              </w:rPr>
              <w:t xml:space="preserve"> – </w:t>
            </w:r>
            <w:r w:rsidR="00867DF6">
              <w:t xml:space="preserve"> </w:t>
            </w:r>
            <w:r w:rsidR="00867DF6" w:rsidRPr="00867DF6">
              <w:rPr>
                <w:sz w:val="26"/>
                <w:szCs w:val="26"/>
              </w:rPr>
              <w:t>līdz 2019.gada 20.novembrim</w:t>
            </w:r>
            <w:r w:rsidRPr="00AF3217">
              <w:rPr>
                <w:sz w:val="26"/>
                <w:szCs w:val="26"/>
                <w:lang w:eastAsia="lv-LV"/>
              </w:rPr>
              <w:t xml:space="preserve">. </w:t>
            </w:r>
          </w:p>
          <w:p w14:paraId="4AD929B8" w14:textId="77777777" w:rsidR="009B5D4E" w:rsidRPr="00AF3217" w:rsidRDefault="009B5D4E" w:rsidP="00142175">
            <w:pPr>
              <w:ind w:firstLine="747"/>
              <w:jc w:val="both"/>
              <w:rPr>
                <w:sz w:val="26"/>
                <w:szCs w:val="26"/>
              </w:rPr>
            </w:pPr>
            <w:r w:rsidRPr="00AF3217">
              <w:rPr>
                <w:b/>
                <w:sz w:val="26"/>
                <w:szCs w:val="26"/>
              </w:rPr>
              <w:t xml:space="preserve"> 2.3. Vērtēšanas kritērijs</w:t>
            </w:r>
            <w:r w:rsidRPr="00AF3217">
              <w:rPr>
                <w:sz w:val="26"/>
                <w:szCs w:val="26"/>
              </w:rPr>
              <w:t xml:space="preserve"> – Tehniskai specifikācijai atbilstošs piedāvājums ar zemāko cenu.</w:t>
            </w:r>
          </w:p>
          <w:p w14:paraId="08224A58" w14:textId="77777777" w:rsidR="009B5D4E" w:rsidRPr="00AF3217" w:rsidRDefault="009B5D4E" w:rsidP="005458FE">
            <w:pPr>
              <w:widowControl w:val="0"/>
              <w:suppressAutoHyphens w:val="0"/>
              <w:autoSpaceDE w:val="0"/>
              <w:autoSpaceDN w:val="0"/>
              <w:adjustRightInd w:val="0"/>
              <w:spacing w:line="271" w:lineRule="exact"/>
              <w:jc w:val="center"/>
              <w:rPr>
                <w:b/>
                <w:bCs/>
                <w:position w:val="-1"/>
                <w:sz w:val="26"/>
                <w:szCs w:val="26"/>
                <w:lang w:eastAsia="en-US"/>
              </w:rPr>
            </w:pPr>
          </w:p>
          <w:p w14:paraId="268AC4EC" w14:textId="1714D055" w:rsidR="009B5D4E" w:rsidRPr="00AF3217" w:rsidRDefault="009B5D4E" w:rsidP="005458FE">
            <w:pPr>
              <w:widowControl w:val="0"/>
              <w:suppressAutoHyphens w:val="0"/>
              <w:autoSpaceDE w:val="0"/>
              <w:autoSpaceDN w:val="0"/>
              <w:adjustRightInd w:val="0"/>
              <w:spacing w:line="271" w:lineRule="exact"/>
              <w:jc w:val="center"/>
              <w:rPr>
                <w:b/>
                <w:bCs/>
                <w:position w:val="-1"/>
                <w:sz w:val="26"/>
                <w:szCs w:val="26"/>
                <w:lang w:eastAsia="en-US"/>
              </w:rPr>
            </w:pPr>
            <w:r w:rsidRPr="00AF3217">
              <w:rPr>
                <w:b/>
                <w:bCs/>
                <w:position w:val="-1"/>
                <w:sz w:val="26"/>
                <w:szCs w:val="26"/>
                <w:lang w:eastAsia="en-US"/>
              </w:rPr>
              <w:t xml:space="preserve">3. PRASĪBAS </w:t>
            </w:r>
          </w:p>
          <w:p w14:paraId="34B158FE" w14:textId="77777777" w:rsidR="009B5D4E" w:rsidRPr="00867DF6" w:rsidRDefault="009B5D4E" w:rsidP="005458FE">
            <w:pPr>
              <w:widowControl w:val="0"/>
              <w:suppressAutoHyphens w:val="0"/>
              <w:autoSpaceDE w:val="0"/>
              <w:autoSpaceDN w:val="0"/>
              <w:adjustRightInd w:val="0"/>
              <w:spacing w:line="271" w:lineRule="exact"/>
              <w:jc w:val="center"/>
              <w:rPr>
                <w:sz w:val="26"/>
                <w:szCs w:val="26"/>
                <w:lang w:eastAsia="en-US"/>
              </w:rPr>
            </w:pPr>
          </w:p>
          <w:p w14:paraId="12AFD826" w14:textId="4BA77098" w:rsidR="009B5D4E" w:rsidRPr="00867DF6" w:rsidRDefault="00867DF6" w:rsidP="00867DF6">
            <w:pPr>
              <w:tabs>
                <w:tab w:val="left" w:pos="29"/>
                <w:tab w:val="left" w:pos="454"/>
              </w:tabs>
              <w:jc w:val="both"/>
              <w:rPr>
                <w:sz w:val="26"/>
                <w:szCs w:val="26"/>
              </w:rPr>
            </w:pPr>
            <w:r w:rsidRPr="00867DF6">
              <w:rPr>
                <w:sz w:val="26"/>
                <w:szCs w:val="26"/>
              </w:rPr>
              <w:t>Pretendenta uzņēmējdarbībai jābūt reģistrētai normatīvo aktu noteiktajā kartībā</w:t>
            </w:r>
            <w:r>
              <w:rPr>
                <w:sz w:val="26"/>
                <w:szCs w:val="26"/>
              </w:rPr>
              <w:t>,</w:t>
            </w:r>
            <w:r w:rsidRPr="00867DF6">
              <w:rPr>
                <w:sz w:val="26"/>
                <w:szCs w:val="26"/>
              </w:rPr>
              <w:t xml:space="preserve"> </w:t>
            </w:r>
            <w:r w:rsidRPr="00867DF6">
              <w:rPr>
                <w:sz w:val="26"/>
                <w:szCs w:val="26"/>
              </w:rPr>
              <w:tab/>
            </w:r>
            <w:r>
              <w:rPr>
                <w:sz w:val="26"/>
                <w:szCs w:val="26"/>
              </w:rPr>
              <w:t>r</w:t>
            </w:r>
            <w:r w:rsidRPr="00867DF6">
              <w:rPr>
                <w:sz w:val="26"/>
                <w:szCs w:val="26"/>
              </w:rPr>
              <w:t xml:space="preserve">eģistrācijas faktu </w:t>
            </w:r>
            <w:r>
              <w:rPr>
                <w:sz w:val="26"/>
                <w:szCs w:val="26"/>
              </w:rPr>
              <w:t>P</w:t>
            </w:r>
            <w:r w:rsidRPr="00867DF6">
              <w:rPr>
                <w:sz w:val="26"/>
                <w:szCs w:val="26"/>
              </w:rPr>
              <w:t>asūtītājs pārbaudīs publiskajos reģistros.</w:t>
            </w:r>
          </w:p>
          <w:p w14:paraId="3DD8753E" w14:textId="77777777" w:rsidR="009B5D4E" w:rsidRPr="00AF3217" w:rsidRDefault="009B5D4E" w:rsidP="005458FE">
            <w:pPr>
              <w:pStyle w:val="Sarakstarindkopa"/>
              <w:widowControl w:val="0"/>
              <w:suppressAutoHyphens w:val="0"/>
              <w:autoSpaceDE w:val="0"/>
              <w:autoSpaceDN w:val="0"/>
              <w:adjustRightInd w:val="0"/>
              <w:spacing w:after="100" w:afterAutospacing="1" w:line="280" w:lineRule="exact"/>
              <w:ind w:left="136"/>
              <w:jc w:val="both"/>
              <w:rPr>
                <w:bCs/>
                <w:sz w:val="26"/>
                <w:szCs w:val="26"/>
              </w:rPr>
            </w:pPr>
          </w:p>
          <w:p w14:paraId="34169747" w14:textId="77777777" w:rsidR="009B5D4E" w:rsidRPr="00AF3217" w:rsidRDefault="009B5D4E" w:rsidP="005458FE">
            <w:pPr>
              <w:pStyle w:val="Sarakstarindkopa"/>
              <w:numPr>
                <w:ilvl w:val="0"/>
                <w:numId w:val="5"/>
              </w:numPr>
              <w:spacing w:after="100" w:afterAutospacing="1"/>
              <w:jc w:val="both"/>
              <w:rPr>
                <w:b/>
                <w:sz w:val="26"/>
                <w:szCs w:val="26"/>
              </w:rPr>
            </w:pPr>
            <w:r w:rsidRPr="00AF3217">
              <w:rPr>
                <w:b/>
                <w:sz w:val="26"/>
                <w:szCs w:val="26"/>
              </w:rPr>
              <w:t>IEPIRKUMA LĪGUMS</w:t>
            </w:r>
          </w:p>
          <w:p w14:paraId="61B64AC5" w14:textId="72A41706" w:rsidR="009B5D4E" w:rsidRPr="00AF3217" w:rsidRDefault="009B5D4E" w:rsidP="005458FE">
            <w:pPr>
              <w:pStyle w:val="Sarakstarindkopa"/>
              <w:numPr>
                <w:ilvl w:val="1"/>
                <w:numId w:val="6"/>
              </w:numPr>
              <w:tabs>
                <w:tab w:val="left" w:pos="567"/>
                <w:tab w:val="left" w:pos="1131"/>
              </w:tabs>
              <w:suppressAutoHyphens w:val="0"/>
              <w:ind w:left="0" w:firstLine="709"/>
              <w:contextualSpacing w:val="0"/>
              <w:jc w:val="both"/>
              <w:rPr>
                <w:sz w:val="26"/>
                <w:szCs w:val="26"/>
              </w:rPr>
            </w:pPr>
            <w:r w:rsidRPr="00AF3217">
              <w:rPr>
                <w:sz w:val="26"/>
                <w:szCs w:val="26"/>
              </w:rPr>
              <w:t xml:space="preserve"> Pamatojoties uz pretendenta piedāvājumu, ar izraudzīto pretendentu (līgumā – Piegādātāju) Pasūtītājs slēdz iepirkuma līgumu.</w:t>
            </w:r>
            <w:bookmarkStart w:id="1" w:name="_GoBack"/>
            <w:bookmarkEnd w:id="1"/>
          </w:p>
          <w:p w14:paraId="295F4873" w14:textId="77777777"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 xml:space="preserve">Preču piegādes apmaksa notiks saskaņā ar pieņemšanas-nodošanas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w:t>
            </w:r>
            <w:r>
              <w:rPr>
                <w:sz w:val="26"/>
                <w:szCs w:val="26"/>
              </w:rPr>
              <w:t>14</w:t>
            </w:r>
            <w:r w:rsidRPr="00AF3217">
              <w:rPr>
                <w:sz w:val="26"/>
                <w:szCs w:val="26"/>
              </w:rPr>
              <w:t xml:space="preserve"> (</w:t>
            </w:r>
            <w:r>
              <w:rPr>
                <w:sz w:val="26"/>
                <w:szCs w:val="26"/>
              </w:rPr>
              <w:t>četrpadsmit</w:t>
            </w:r>
            <w:r w:rsidRPr="00AF3217">
              <w:rPr>
                <w:sz w:val="26"/>
                <w:szCs w:val="26"/>
              </w:rPr>
              <w:t>) dienu laikā no pieņemšanas-nodošanas akta un rēķina (turpmāk – elektroniskais rēķins) saņemšanas dienas.</w:t>
            </w:r>
          </w:p>
          <w:p w14:paraId="476B384C" w14:textId="3D4DC3F4"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Piegādātājs</w:t>
            </w:r>
            <w:r w:rsidRPr="00AF3217">
              <w:rPr>
                <w:sz w:val="26"/>
                <w:szCs w:val="26"/>
                <w:lang w:eastAsia="lv-LV"/>
              </w:rPr>
              <w:t xml:space="preserve"> sagatavo elektronisko rēķinu atbilstoši Rīgas pilsētas pašvaldības </w:t>
            </w:r>
            <w:r w:rsidRPr="006914D5">
              <w:rPr>
                <w:sz w:val="26"/>
                <w:szCs w:val="26"/>
                <w:lang w:eastAsia="lv-LV"/>
              </w:rPr>
              <w:t xml:space="preserve">portālā </w:t>
            </w:r>
            <w:hyperlink r:id="rId9" w:history="1">
              <w:r w:rsidR="00867DF6" w:rsidRPr="00290A40">
                <w:rPr>
                  <w:rStyle w:val="Hipersaite"/>
                  <w:sz w:val="26"/>
                  <w:szCs w:val="26"/>
                  <w:lang w:eastAsia="lv-LV"/>
                </w:rPr>
                <w:t>www.eriga.lv</w:t>
              </w:r>
            </w:hyperlink>
            <w:r w:rsidRPr="006914D5">
              <w:rPr>
                <w:sz w:val="26"/>
                <w:szCs w:val="26"/>
                <w:lang w:eastAsia="lv-LV"/>
              </w:rPr>
              <w:t xml:space="preserve">, sadaļā </w:t>
            </w:r>
            <w:r w:rsidRPr="00AF3217">
              <w:rPr>
                <w:sz w:val="26"/>
                <w:szCs w:val="26"/>
                <w:lang w:eastAsia="lv-LV"/>
              </w:rPr>
              <w:t>“Rēķinu iesniegšana” norādītajai informācijai par elektroniskā rēķina formātu.</w:t>
            </w:r>
          </w:p>
          <w:p w14:paraId="775B9140" w14:textId="77777777"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Piegādātājs</w:t>
            </w:r>
            <w:r w:rsidRPr="00AF3217">
              <w:rPr>
                <w:sz w:val="26"/>
                <w:szCs w:val="26"/>
                <w:lang w:eastAsia="lv-LV"/>
              </w:rPr>
              <w:t xml:space="preserve"> elektroniskos rēķinus apmaksai iesniedz, izvēloties vienu no sekojošajiem rēķina piegādes kanāliem: </w:t>
            </w:r>
            <w:r w:rsidRPr="00AF3217">
              <w:rPr>
                <w:sz w:val="26"/>
                <w:szCs w:val="26"/>
              </w:rPr>
              <w:t xml:space="preserve">izveido programmatūru datu apmaiņai starp Piegādātāja norēķinu sistēmu un pašvaldības vienoto informācijas sistēmu; augšupielādē rēķinu failus pašvaldības </w:t>
            </w:r>
            <w:r w:rsidRPr="006914D5">
              <w:rPr>
                <w:sz w:val="26"/>
                <w:szCs w:val="26"/>
              </w:rPr>
              <w:t xml:space="preserve">portālā </w:t>
            </w:r>
            <w:hyperlink r:id="rId10" w:history="1">
              <w:r w:rsidRPr="006914D5">
                <w:rPr>
                  <w:rStyle w:val="Hipersaite"/>
                  <w:color w:val="auto"/>
                  <w:sz w:val="26"/>
                  <w:szCs w:val="26"/>
                  <w:u w:val="none"/>
                </w:rPr>
                <w:t>www.eriga.lv</w:t>
              </w:r>
            </w:hyperlink>
            <w:r w:rsidRPr="006914D5">
              <w:rPr>
                <w:sz w:val="26"/>
                <w:szCs w:val="26"/>
              </w:rPr>
              <w:t xml:space="preserve">, </w:t>
            </w:r>
            <w:r w:rsidRPr="00AF3217">
              <w:rPr>
                <w:sz w:val="26"/>
                <w:szCs w:val="26"/>
              </w:rPr>
              <w:t xml:space="preserve">atbilstoši portālā noteiktajam aprakstam par elektroniskā rēķina iesniegšanas formātu un piegādes veidu; izmanto </w:t>
            </w:r>
            <w:proofErr w:type="spellStart"/>
            <w:r w:rsidRPr="00AF3217">
              <w:rPr>
                <w:sz w:val="26"/>
                <w:szCs w:val="26"/>
              </w:rPr>
              <w:t>Web</w:t>
            </w:r>
            <w:proofErr w:type="spellEnd"/>
            <w:r w:rsidRPr="00AF3217">
              <w:rPr>
                <w:sz w:val="26"/>
                <w:szCs w:val="26"/>
              </w:rPr>
              <w:t xml:space="preserve"> formas manuālai rēķinu ievadei.</w:t>
            </w:r>
          </w:p>
          <w:p w14:paraId="0EE035B2" w14:textId="77777777" w:rsidR="009B5D4E" w:rsidRPr="00AF3217" w:rsidRDefault="009B5D4E" w:rsidP="005458FE">
            <w:pPr>
              <w:pStyle w:val="Sarakstarindkopa"/>
              <w:numPr>
                <w:ilvl w:val="1"/>
                <w:numId w:val="6"/>
              </w:numPr>
              <w:tabs>
                <w:tab w:val="left" w:pos="567"/>
                <w:tab w:val="left" w:pos="1107"/>
              </w:tabs>
              <w:suppressAutoHyphens w:val="0"/>
              <w:ind w:left="0" w:firstLine="680"/>
              <w:contextualSpacing w:val="0"/>
              <w:jc w:val="both"/>
              <w:rPr>
                <w:sz w:val="26"/>
                <w:szCs w:val="26"/>
              </w:rPr>
            </w:pPr>
            <w:r w:rsidRPr="00AF3217">
              <w:rPr>
                <w:sz w:val="26"/>
                <w:szCs w:val="26"/>
              </w:rPr>
              <w:t>Līgumā noteiktā kārtībā iesniegts elektroniskais rēķins nodrošina Pusēm elektroniskā rēķina izcelsmes autentiskumu un satura integritāti.</w:t>
            </w:r>
          </w:p>
          <w:p w14:paraId="4A78A170" w14:textId="77777777"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 xml:space="preserve">Līgumslēdzēji (puses) vienojas, ka elektroniskā rēķina apmaksas termiņu skaita no dienas, kad Piegādātājs, atbilstoši pašvaldības </w:t>
            </w:r>
            <w:r w:rsidRPr="006914D5">
              <w:rPr>
                <w:sz w:val="26"/>
                <w:szCs w:val="26"/>
              </w:rPr>
              <w:t xml:space="preserve">portālā </w:t>
            </w:r>
            <w:hyperlink r:id="rId11" w:history="1">
              <w:r w:rsidRPr="006914D5">
                <w:rPr>
                  <w:rStyle w:val="Hipersaite"/>
                  <w:color w:val="auto"/>
                  <w:sz w:val="26"/>
                  <w:szCs w:val="26"/>
                  <w:u w:val="none"/>
                </w:rPr>
                <w:t>www.eriga.lv</w:t>
              </w:r>
            </w:hyperlink>
            <w:r w:rsidRPr="006914D5">
              <w:rPr>
                <w:sz w:val="26"/>
                <w:szCs w:val="26"/>
              </w:rPr>
              <w:t xml:space="preserve">, </w:t>
            </w:r>
            <w:r w:rsidRPr="00AF3217">
              <w:rPr>
                <w:sz w:val="26"/>
                <w:szCs w:val="26"/>
              </w:rPr>
              <w:t xml:space="preserve">sadaļā “Rēķinu iesniegšana” norādītajai informācijai par elektroniskā rēķina formātu, ir iesniedzis Pasūtītajam elektronisku rēķinu, ar nosacījumu, ka Piegādātājs ir iesniedzis pareizi, </w:t>
            </w:r>
            <w:r w:rsidRPr="00AF3217">
              <w:rPr>
                <w:sz w:val="26"/>
                <w:szCs w:val="26"/>
              </w:rPr>
              <w:lastRenderedPageBreak/>
              <w:t xml:space="preserve">atbilstoši līguma nosacījumiem, aizpildītu elektronisko rēķinu un Pasūtītājs to ir pieņēmis apmaksai. </w:t>
            </w:r>
          </w:p>
          <w:p w14:paraId="10D6333C" w14:textId="77777777"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 xml:space="preserve">Piegādātājam ir pienākums pašvaldības </w:t>
            </w:r>
            <w:r w:rsidRPr="006914D5">
              <w:rPr>
                <w:sz w:val="26"/>
                <w:szCs w:val="26"/>
              </w:rPr>
              <w:t xml:space="preserve">portālā </w:t>
            </w:r>
            <w:hyperlink r:id="rId12" w:history="1">
              <w:r w:rsidRPr="006914D5">
                <w:rPr>
                  <w:rStyle w:val="Hipersaite"/>
                  <w:color w:val="auto"/>
                  <w:sz w:val="26"/>
                  <w:szCs w:val="26"/>
                  <w:u w:val="none"/>
                </w:rPr>
                <w:t>www.eriga.lv</w:t>
              </w:r>
            </w:hyperlink>
            <w:r w:rsidRPr="00AF3217">
              <w:rPr>
                <w:sz w:val="26"/>
                <w:szCs w:val="26"/>
              </w:rPr>
              <w:t xml:space="preserve"> sekot līdzi iesniegtā elektroniskā rēķina apstrādes statusam.</w:t>
            </w:r>
          </w:p>
          <w:p w14:paraId="04784DB5" w14:textId="77777777" w:rsidR="009B5D4E" w:rsidRPr="00AF3217" w:rsidRDefault="009B5D4E" w:rsidP="005458FE">
            <w:pPr>
              <w:pStyle w:val="Sarakstarindkopa"/>
              <w:numPr>
                <w:ilvl w:val="1"/>
                <w:numId w:val="6"/>
              </w:numPr>
              <w:tabs>
                <w:tab w:val="left" w:pos="567"/>
                <w:tab w:val="left" w:pos="1131"/>
              </w:tabs>
              <w:suppressAutoHyphens w:val="0"/>
              <w:ind w:left="0" w:firstLine="680"/>
              <w:contextualSpacing w:val="0"/>
              <w:jc w:val="both"/>
              <w:rPr>
                <w:sz w:val="26"/>
                <w:szCs w:val="26"/>
              </w:rPr>
            </w:pPr>
            <w:r w:rsidRPr="00AF3217">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1649C21E" w14:textId="77777777" w:rsidR="009B5D4E" w:rsidRPr="00AF3217" w:rsidRDefault="009B5D4E" w:rsidP="005458FE">
            <w:pPr>
              <w:pStyle w:val="Sarakstarindkopa"/>
              <w:numPr>
                <w:ilvl w:val="1"/>
                <w:numId w:val="6"/>
              </w:numPr>
              <w:tabs>
                <w:tab w:val="left" w:pos="1131"/>
              </w:tabs>
              <w:suppressAutoHyphens w:val="0"/>
              <w:ind w:left="0" w:firstLine="680"/>
              <w:contextualSpacing w:val="0"/>
              <w:jc w:val="both"/>
              <w:rPr>
                <w:sz w:val="26"/>
                <w:szCs w:val="26"/>
              </w:rPr>
            </w:pPr>
            <w:r w:rsidRPr="00AF3217">
              <w:rPr>
                <w:sz w:val="26"/>
                <w:szCs w:val="26"/>
              </w:rPr>
              <w:t>Ja ir noticis preču piegādes sniegšanas termiņa kavējums, Piegādātājs maksā Pasūtītājam līgumsodu 0,1% no rēķina summas par katru nokavēto dienu, bet ne vairāk kā 10% no rēķina summas;</w:t>
            </w:r>
          </w:p>
          <w:p w14:paraId="26A8B691" w14:textId="6FF0E60B" w:rsidR="009B5D4E" w:rsidRPr="00AF3217" w:rsidRDefault="009B5D4E" w:rsidP="005458FE">
            <w:pPr>
              <w:pStyle w:val="Sarakstarindkopa"/>
              <w:numPr>
                <w:ilvl w:val="1"/>
                <w:numId w:val="6"/>
              </w:numPr>
              <w:tabs>
                <w:tab w:val="left" w:pos="567"/>
                <w:tab w:val="left" w:pos="1273"/>
              </w:tabs>
              <w:suppressAutoHyphens w:val="0"/>
              <w:ind w:left="0" w:firstLine="680"/>
              <w:contextualSpacing w:val="0"/>
              <w:jc w:val="both"/>
              <w:rPr>
                <w:sz w:val="26"/>
                <w:szCs w:val="26"/>
              </w:rPr>
            </w:pPr>
            <w:r w:rsidRPr="00AF3217">
              <w:rPr>
                <w:sz w:val="26"/>
                <w:szCs w:val="26"/>
              </w:rPr>
              <w:t xml:space="preserve">Ja ir noticis apmaksas termiņa kavējums Pasūtītājs maksā Piegādātājam līgumsodu 0,1% no </w:t>
            </w:r>
            <w:r w:rsidRPr="00AF3217">
              <w:rPr>
                <w:color w:val="000000"/>
                <w:sz w:val="26"/>
                <w:szCs w:val="26"/>
              </w:rPr>
              <w:t xml:space="preserve">rēķina </w:t>
            </w:r>
            <w:r w:rsidRPr="00AF3217">
              <w:rPr>
                <w:sz w:val="26"/>
                <w:szCs w:val="26"/>
              </w:rPr>
              <w:t>summas par katru nokavēto dienu, bet ne vairāk kā 10% no rēķina summas.</w:t>
            </w:r>
          </w:p>
          <w:p w14:paraId="31709EF6" w14:textId="77777777" w:rsidR="009B5D4E" w:rsidRPr="00AF3217" w:rsidRDefault="009B5D4E" w:rsidP="005458FE">
            <w:pPr>
              <w:pStyle w:val="Sarakstarindkopa"/>
              <w:numPr>
                <w:ilvl w:val="1"/>
                <w:numId w:val="6"/>
              </w:numPr>
              <w:tabs>
                <w:tab w:val="left" w:pos="1273"/>
              </w:tabs>
              <w:suppressAutoHyphens w:val="0"/>
              <w:ind w:left="0" w:firstLine="680"/>
              <w:contextualSpacing w:val="0"/>
              <w:jc w:val="both"/>
              <w:rPr>
                <w:sz w:val="26"/>
                <w:szCs w:val="26"/>
              </w:rPr>
            </w:pPr>
            <w:r w:rsidRPr="00AF3217">
              <w:rPr>
                <w:sz w:val="26"/>
                <w:szCs w:val="26"/>
              </w:rPr>
              <w:t>Piegādātājam ir pienākums nodrošināt Preču piegādi ar Piegādātāja transportu 1 (vienas) darba dienas laikā no pasūtījuma nodošanas dienas. Piegāde ir uzskatāma par veiktu ar dienu, kad ir piegādātas visas attiecīgajā pasūtījumā norādītās preces.</w:t>
            </w:r>
          </w:p>
          <w:p w14:paraId="488F0561" w14:textId="77777777" w:rsidR="009B5D4E" w:rsidRPr="00AF3217" w:rsidRDefault="009B5D4E" w:rsidP="005458FE">
            <w:pPr>
              <w:pStyle w:val="Sarakstarindkopa"/>
              <w:numPr>
                <w:ilvl w:val="1"/>
                <w:numId w:val="6"/>
              </w:numPr>
              <w:tabs>
                <w:tab w:val="left" w:pos="1273"/>
              </w:tabs>
              <w:suppressAutoHyphens w:val="0"/>
              <w:ind w:left="0" w:firstLine="680"/>
              <w:contextualSpacing w:val="0"/>
              <w:jc w:val="both"/>
              <w:rPr>
                <w:sz w:val="26"/>
                <w:szCs w:val="26"/>
              </w:rPr>
            </w:pPr>
            <w:r w:rsidRPr="00AF3217">
              <w:rPr>
                <w:sz w:val="26"/>
                <w:szCs w:val="26"/>
              </w:rPr>
              <w:t>Pusēm rakstiski vienojoties, Pasūtītājs līguma darbības laikā ir tiesīgs līdz 20% palielināt vai samazināt nepieciešamo ūdens sadales iekārtas daudzumu.</w:t>
            </w:r>
          </w:p>
          <w:p w14:paraId="31CE350D" w14:textId="77777777" w:rsidR="009B5D4E" w:rsidRPr="00AF3217" w:rsidRDefault="009B5D4E" w:rsidP="005458FE">
            <w:pPr>
              <w:pStyle w:val="Sarakstarindkopa"/>
              <w:numPr>
                <w:ilvl w:val="1"/>
                <w:numId w:val="6"/>
              </w:numPr>
              <w:tabs>
                <w:tab w:val="left" w:pos="567"/>
                <w:tab w:val="left" w:pos="1273"/>
              </w:tabs>
              <w:suppressAutoHyphens w:val="0"/>
              <w:ind w:left="0" w:firstLine="680"/>
              <w:contextualSpacing w:val="0"/>
              <w:jc w:val="both"/>
              <w:rPr>
                <w:sz w:val="26"/>
                <w:szCs w:val="26"/>
              </w:rPr>
            </w:pPr>
            <w:r w:rsidRPr="00AF3217">
              <w:rPr>
                <w:sz w:val="26"/>
                <w:szCs w:val="26"/>
              </w:rPr>
              <w:t>Pasūtītājam jebkurā brīdī ir tiesības vienpusēji atkāpties no līguma, ja tas konstatē, ka preču piegāde neatbilst tehniskās specifikācijas un līguma noteikumiem.</w:t>
            </w:r>
          </w:p>
        </w:tc>
      </w:tr>
      <w:tr w:rsidR="009B5D4E" w:rsidRPr="00AF3217" w14:paraId="6F3FF2A0" w14:textId="77777777" w:rsidTr="005458FE">
        <w:trPr>
          <w:trHeight w:val="195"/>
        </w:trPr>
        <w:tc>
          <w:tcPr>
            <w:tcW w:w="9678" w:type="dxa"/>
            <w:noWrap/>
            <w:vAlign w:val="bottom"/>
          </w:tcPr>
          <w:p w14:paraId="05AD9529" w14:textId="77777777" w:rsidR="009B5D4E" w:rsidRPr="00AF3217" w:rsidRDefault="009B5D4E" w:rsidP="005458FE">
            <w:pPr>
              <w:ind w:right="34"/>
              <w:rPr>
                <w:iCs/>
                <w:sz w:val="26"/>
                <w:szCs w:val="26"/>
              </w:rPr>
            </w:pPr>
          </w:p>
        </w:tc>
      </w:tr>
    </w:tbl>
    <w:p w14:paraId="034BCED4" w14:textId="77777777" w:rsidR="009B5D4E" w:rsidRPr="00AF3217" w:rsidRDefault="009B5D4E" w:rsidP="009B5D4E">
      <w:pPr>
        <w:rPr>
          <w:sz w:val="26"/>
          <w:szCs w:val="26"/>
        </w:rPr>
      </w:pPr>
    </w:p>
    <w:tbl>
      <w:tblPr>
        <w:tblpPr w:leftFromText="180" w:rightFromText="180" w:vertAnchor="page" w:horzAnchor="margin" w:tblpY="886"/>
        <w:tblW w:w="9678" w:type="dxa"/>
        <w:tblLook w:val="04A0" w:firstRow="1" w:lastRow="0" w:firstColumn="1" w:lastColumn="0" w:noHBand="0" w:noVBand="1"/>
      </w:tblPr>
      <w:tblGrid>
        <w:gridCol w:w="9678"/>
      </w:tblGrid>
      <w:tr w:rsidR="009B5D4E" w:rsidRPr="00AF3217" w14:paraId="51B82035" w14:textId="77777777" w:rsidTr="005458FE">
        <w:trPr>
          <w:trHeight w:val="195"/>
        </w:trPr>
        <w:tc>
          <w:tcPr>
            <w:tcW w:w="9678" w:type="dxa"/>
            <w:noWrap/>
            <w:vAlign w:val="bottom"/>
          </w:tcPr>
          <w:p w14:paraId="0E4A414F" w14:textId="77777777" w:rsidR="009B5D4E" w:rsidRPr="00AF3217" w:rsidRDefault="009B5D4E" w:rsidP="005458FE">
            <w:pPr>
              <w:ind w:right="34"/>
              <w:rPr>
                <w:iCs/>
                <w:sz w:val="26"/>
                <w:szCs w:val="26"/>
              </w:rPr>
            </w:pPr>
          </w:p>
        </w:tc>
      </w:tr>
    </w:tbl>
    <w:p w14:paraId="1FB87E0D" w14:textId="30BEF78C" w:rsidR="009B5D4E" w:rsidRPr="00AF3217" w:rsidRDefault="009B5D4E" w:rsidP="009B5D4E">
      <w:pPr>
        <w:rPr>
          <w:sz w:val="26"/>
          <w:szCs w:val="26"/>
        </w:rPr>
      </w:pPr>
      <w:r w:rsidRPr="00AF3217">
        <w:rPr>
          <w:b/>
          <w:sz w:val="26"/>
          <w:szCs w:val="26"/>
        </w:rPr>
        <w:t xml:space="preserve">Pielikumā: </w:t>
      </w:r>
      <w:r w:rsidRPr="00AF3217">
        <w:rPr>
          <w:sz w:val="26"/>
          <w:szCs w:val="26"/>
        </w:rPr>
        <w:t>Tehniskā specifikācija</w:t>
      </w:r>
      <w:r w:rsidR="006914D5">
        <w:rPr>
          <w:sz w:val="26"/>
          <w:szCs w:val="26"/>
        </w:rPr>
        <w:t xml:space="preserve"> – </w:t>
      </w:r>
      <w:r w:rsidRPr="00AF3217">
        <w:rPr>
          <w:sz w:val="26"/>
          <w:szCs w:val="26"/>
        </w:rPr>
        <w:t>Finanšu piedāvājums</w:t>
      </w:r>
    </w:p>
    <w:p w14:paraId="3F30010E" w14:textId="78CE8184" w:rsidR="009B5D4E" w:rsidRPr="00AF3217" w:rsidRDefault="009B5D4E" w:rsidP="006914D5">
      <w:pPr>
        <w:suppressAutoHyphens w:val="0"/>
        <w:rPr>
          <w:sz w:val="26"/>
          <w:szCs w:val="26"/>
        </w:rPr>
      </w:pPr>
    </w:p>
    <w:sectPr w:rsidR="009B5D4E" w:rsidRPr="00AF3217" w:rsidSect="00142175">
      <w:headerReference w:type="default" r:id="rId13"/>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2E7C" w14:textId="77777777" w:rsidR="001D2227" w:rsidRDefault="001D2227">
      <w:r>
        <w:separator/>
      </w:r>
    </w:p>
  </w:endnote>
  <w:endnote w:type="continuationSeparator" w:id="0">
    <w:p w14:paraId="038C231A" w14:textId="77777777" w:rsidR="001D2227" w:rsidRDefault="001D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7044" w14:textId="77777777" w:rsidR="001D2227" w:rsidRDefault="001D2227">
      <w:r>
        <w:separator/>
      </w:r>
    </w:p>
  </w:footnote>
  <w:footnote w:type="continuationSeparator" w:id="0">
    <w:p w14:paraId="582B332F" w14:textId="77777777" w:rsidR="001D2227" w:rsidRDefault="001D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877B" w14:textId="33265240" w:rsidR="00142175" w:rsidRDefault="00142175" w:rsidP="00142175">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02A29CE7" w14:textId="77777777" w:rsidR="00142175" w:rsidRDefault="001421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15:restartNumberingAfterBreak="0">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50"/>
    <w:rsid w:val="000E3A83"/>
    <w:rsid w:val="00142175"/>
    <w:rsid w:val="001D2227"/>
    <w:rsid w:val="00201FD0"/>
    <w:rsid w:val="00353750"/>
    <w:rsid w:val="004D4409"/>
    <w:rsid w:val="006914D5"/>
    <w:rsid w:val="00867DF6"/>
    <w:rsid w:val="00933E58"/>
    <w:rsid w:val="009B5D4E"/>
    <w:rsid w:val="00AD3DF3"/>
    <w:rsid w:val="00BA3C22"/>
    <w:rsid w:val="00D26710"/>
    <w:rsid w:val="00DC2E28"/>
    <w:rsid w:val="00EC7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79D9"/>
  <w15:chartTrackingRefBased/>
  <w15:docId w15:val="{E1F35D74-2468-434D-9684-97877525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B5D4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9B5D4E"/>
    <w:pPr>
      <w:keepNext/>
      <w:numPr>
        <w:numId w:val="1"/>
      </w:numPr>
      <w:outlineLvl w:val="0"/>
    </w:pPr>
    <w:rPr>
      <w:b/>
      <w:bCs/>
      <w:sz w:val="26"/>
    </w:rPr>
  </w:style>
  <w:style w:type="paragraph" w:styleId="Virsraksts3">
    <w:name w:val="heading 3"/>
    <w:basedOn w:val="Parasts"/>
    <w:next w:val="Parasts"/>
    <w:link w:val="Virsraksts3Rakstz"/>
    <w:qFormat/>
    <w:rsid w:val="009B5D4E"/>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5D4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9B5D4E"/>
    <w:rPr>
      <w:rFonts w:ascii="Times New Roman" w:eastAsia="Times New Roman" w:hAnsi="Times New Roman" w:cs="Times New Roman"/>
      <w:b/>
      <w:bCs/>
      <w:sz w:val="24"/>
      <w:szCs w:val="24"/>
      <w:lang w:eastAsia="ar-SA"/>
    </w:rPr>
  </w:style>
  <w:style w:type="character" w:styleId="Hipersaite">
    <w:name w:val="Hyperlink"/>
    <w:rsid w:val="009B5D4E"/>
    <w:rPr>
      <w:color w:val="0000FF"/>
      <w:u w:val="single"/>
    </w:rPr>
  </w:style>
  <w:style w:type="character" w:styleId="Lappusesnumurs">
    <w:name w:val="page number"/>
    <w:basedOn w:val="Noklusjumarindkopasfonts"/>
    <w:rsid w:val="009B5D4E"/>
  </w:style>
  <w:style w:type="paragraph" w:styleId="Kjene">
    <w:name w:val="footer"/>
    <w:basedOn w:val="Parasts"/>
    <w:link w:val="KjeneRakstz"/>
    <w:rsid w:val="009B5D4E"/>
    <w:pPr>
      <w:tabs>
        <w:tab w:val="center" w:pos="4153"/>
        <w:tab w:val="right" w:pos="8306"/>
      </w:tabs>
    </w:pPr>
  </w:style>
  <w:style w:type="character" w:customStyle="1" w:styleId="KjeneRakstz">
    <w:name w:val="Kājene Rakstz."/>
    <w:basedOn w:val="Noklusjumarindkopasfonts"/>
    <w:link w:val="Kjene"/>
    <w:rsid w:val="009B5D4E"/>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9B5D4E"/>
    <w:pPr>
      <w:ind w:left="720"/>
      <w:contextualSpacing/>
    </w:pPr>
  </w:style>
  <w:style w:type="paragraph" w:customStyle="1" w:styleId="Default">
    <w:name w:val="Default"/>
    <w:uiPriority w:val="99"/>
    <w:rsid w:val="009B5D4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rakstarindkopaRakstz">
    <w:name w:val="Saraksta rindkopa Rakstz."/>
    <w:link w:val="Sarakstarindkopa"/>
    <w:uiPriority w:val="34"/>
    <w:locked/>
    <w:rsid w:val="009B5D4E"/>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0E3A83"/>
    <w:rPr>
      <w:color w:val="605E5C"/>
      <w:shd w:val="clear" w:color="auto" w:fill="E1DFDD"/>
    </w:rPr>
  </w:style>
  <w:style w:type="paragraph" w:styleId="Galvene">
    <w:name w:val="header"/>
    <w:basedOn w:val="Parasts"/>
    <w:link w:val="GalveneRakstz"/>
    <w:uiPriority w:val="99"/>
    <w:unhideWhenUsed/>
    <w:rsid w:val="00142175"/>
    <w:pPr>
      <w:tabs>
        <w:tab w:val="center" w:pos="4153"/>
        <w:tab w:val="right" w:pos="8306"/>
      </w:tabs>
    </w:pPr>
  </w:style>
  <w:style w:type="character" w:customStyle="1" w:styleId="GalveneRakstz">
    <w:name w:val="Galvene Rakstz."/>
    <w:basedOn w:val="Noklusjumarindkopasfonts"/>
    <w:link w:val="Galvene"/>
    <w:uiPriority w:val="99"/>
    <w:rsid w:val="0014217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D7CD-1A7E-40EA-BBFE-FA652806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2975</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Andrejs Vessers-Arness</cp:lastModifiedBy>
  <cp:revision>4</cp:revision>
  <dcterms:created xsi:type="dcterms:W3CDTF">2019-10-08T07:04:00Z</dcterms:created>
  <dcterms:modified xsi:type="dcterms:W3CDTF">2019-10-08T11:54:00Z</dcterms:modified>
</cp:coreProperties>
</file>