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E2D" w:rsidRDefault="00AF1E2D" w:rsidP="003D4761">
      <w:pPr>
        <w:jc w:val="center"/>
      </w:pPr>
      <w:r>
        <w:rPr>
          <w:noProof/>
          <w:lang w:val="lv-LV" w:eastAsia="lv-LV"/>
        </w:rPr>
        <w:drawing>
          <wp:inline distT="0" distB="0" distL="0" distR="0" wp14:anchorId="665D00E6" wp14:editId="18F86301">
            <wp:extent cx="542925" cy="723900"/>
            <wp:effectExtent l="0" t="0" r="9525" b="0"/>
            <wp:docPr id="1" name="Attēls 1" descr="D:\DOCUME~1\JURITA~1.GUR\LOCALS~1\Temp\RDLIS\Rigas_gerbo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~1\JURITA~1.GUR\LOCALS~1\Temp\RDLIS\Rigas_gerbonis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E2D" w:rsidRDefault="00AF1E2D" w:rsidP="00AF1E2D">
      <w:pPr>
        <w:jc w:val="center"/>
        <w:rPr>
          <w:sz w:val="22"/>
          <w:szCs w:val="22"/>
        </w:rPr>
      </w:pPr>
    </w:p>
    <w:p w:rsidR="00AF1E2D" w:rsidRDefault="00AF1E2D" w:rsidP="00AF1E2D">
      <w:pPr>
        <w:pStyle w:val="Parakstszemobjekta"/>
        <w:rPr>
          <w:sz w:val="36"/>
          <w:szCs w:val="36"/>
        </w:rPr>
      </w:pPr>
      <w:r>
        <w:rPr>
          <w:sz w:val="36"/>
          <w:szCs w:val="36"/>
        </w:rPr>
        <w:t>RĪGAS PAŠVALDĪBAS POLICIJA</w:t>
      </w:r>
    </w:p>
    <w:p w:rsidR="00AF1E2D" w:rsidRDefault="00AF1E2D" w:rsidP="00AF1E2D">
      <w:pPr>
        <w:tabs>
          <w:tab w:val="left" w:pos="3960"/>
        </w:tabs>
        <w:ind w:left="-540" w:right="-908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Lomonosova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iela</w:t>
      </w:r>
      <w:proofErr w:type="spellEnd"/>
      <w:r>
        <w:rPr>
          <w:sz w:val="22"/>
          <w:szCs w:val="22"/>
        </w:rPr>
        <w:t xml:space="preserve"> 12</w:t>
      </w:r>
      <w:r w:rsidR="00B63426">
        <w:rPr>
          <w:sz w:val="22"/>
          <w:szCs w:val="22"/>
        </w:rPr>
        <w:t>A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Rīga</w:t>
      </w:r>
      <w:proofErr w:type="spellEnd"/>
      <w:r>
        <w:rPr>
          <w:sz w:val="22"/>
          <w:szCs w:val="22"/>
        </w:rPr>
        <w:t xml:space="preserve">, LV-1019, </w:t>
      </w:r>
      <w:proofErr w:type="spellStart"/>
      <w:r>
        <w:rPr>
          <w:sz w:val="22"/>
          <w:szCs w:val="22"/>
        </w:rPr>
        <w:t>tālrunis</w:t>
      </w:r>
      <w:proofErr w:type="spellEnd"/>
      <w:r>
        <w:rPr>
          <w:sz w:val="22"/>
          <w:szCs w:val="22"/>
        </w:rPr>
        <w:t xml:space="preserve"> 67037803,</w:t>
      </w:r>
    </w:p>
    <w:p w:rsidR="00AF1E2D" w:rsidRDefault="00AF1E2D" w:rsidP="00AF1E2D">
      <w:pPr>
        <w:tabs>
          <w:tab w:val="left" w:pos="3960"/>
        </w:tabs>
        <w:ind w:left="-540" w:right="-908"/>
        <w:jc w:val="center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fakss</w:t>
      </w:r>
      <w:proofErr w:type="spellEnd"/>
      <w:proofErr w:type="gramEnd"/>
      <w:r>
        <w:rPr>
          <w:sz w:val="22"/>
          <w:szCs w:val="22"/>
        </w:rPr>
        <w:t xml:space="preserve"> 67037895,e-pasts: </w:t>
      </w:r>
      <w:hyperlink r:id="rId8" w:history="1">
        <w:r w:rsidRPr="007F2D10">
          <w:rPr>
            <w:rStyle w:val="Hipersaite"/>
            <w:sz w:val="22"/>
            <w:szCs w:val="22"/>
          </w:rPr>
          <w:t>rpp@riga.lv</w:t>
        </w:r>
      </w:hyperlink>
    </w:p>
    <w:p w:rsidR="00AF1E2D" w:rsidRDefault="00AF1E2D" w:rsidP="00AF1E2D">
      <w:pPr>
        <w:tabs>
          <w:tab w:val="left" w:pos="3960"/>
        </w:tabs>
        <w:jc w:val="center"/>
        <w:rPr>
          <w:sz w:val="22"/>
          <w:szCs w:val="22"/>
        </w:rPr>
      </w:pPr>
    </w:p>
    <w:p w:rsidR="00AF1E2D" w:rsidRDefault="00AF1E2D" w:rsidP="00AF1E2D">
      <w:pPr>
        <w:tabs>
          <w:tab w:val="left" w:pos="3960"/>
        </w:tabs>
        <w:jc w:val="both"/>
        <w:rPr>
          <w:sz w:val="26"/>
          <w:szCs w:val="26"/>
          <w:lang w:val="lv-LV"/>
        </w:rPr>
      </w:pPr>
    </w:p>
    <w:p w:rsidR="00AF1E2D" w:rsidRDefault="00AF1E2D" w:rsidP="00AF1E2D">
      <w:pPr>
        <w:tabs>
          <w:tab w:val="left" w:pos="1440"/>
          <w:tab w:val="center" w:pos="4629"/>
        </w:tabs>
        <w:spacing w:after="280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Rīgā</w:t>
      </w:r>
      <w:r>
        <w:rPr>
          <w:sz w:val="26"/>
          <w:szCs w:val="26"/>
          <w:lang w:val="lv-LV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19"/>
        <w:gridCol w:w="1868"/>
        <w:gridCol w:w="663"/>
        <w:gridCol w:w="2555"/>
      </w:tblGrid>
      <w:tr w:rsidR="00AF1E2D" w:rsidTr="00BF1454">
        <w:trPr>
          <w:trHeight w:val="340"/>
        </w:trPr>
        <w:tc>
          <w:tcPr>
            <w:tcW w:w="619" w:type="dxa"/>
          </w:tcPr>
          <w:p w:rsidR="00AF1E2D" w:rsidRDefault="00AF1E2D" w:rsidP="00BF1454">
            <w:pPr>
              <w:tabs>
                <w:tab w:val="left" w:pos="360"/>
                <w:tab w:val="left" w:pos="3960"/>
              </w:tabs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E2D" w:rsidRDefault="00AF1E2D" w:rsidP="00BF1454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</w:p>
        </w:tc>
        <w:tc>
          <w:tcPr>
            <w:tcW w:w="663" w:type="dxa"/>
          </w:tcPr>
          <w:p w:rsidR="00AF1E2D" w:rsidRDefault="00AF1E2D" w:rsidP="00BF1454">
            <w:pPr>
              <w:tabs>
                <w:tab w:val="left" w:pos="360"/>
                <w:tab w:val="left" w:pos="3960"/>
              </w:tabs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Nr.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E2D" w:rsidRDefault="00AF1E2D" w:rsidP="00BF1454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bookmarkStart w:id="0" w:name="_GoBack"/>
            <w:bookmarkEnd w:id="0"/>
          </w:p>
        </w:tc>
      </w:tr>
      <w:tr w:rsidR="00AF1E2D" w:rsidTr="00BF1454">
        <w:trPr>
          <w:trHeight w:val="273"/>
        </w:trPr>
        <w:tc>
          <w:tcPr>
            <w:tcW w:w="619" w:type="dxa"/>
          </w:tcPr>
          <w:p w:rsidR="00AF1E2D" w:rsidRDefault="00AF1E2D" w:rsidP="00BF1454">
            <w:pPr>
              <w:tabs>
                <w:tab w:val="left" w:pos="360"/>
                <w:tab w:val="left" w:pos="3960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1E2D" w:rsidRDefault="00AF1E2D" w:rsidP="00BF1454">
            <w:pPr>
              <w:tabs>
                <w:tab w:val="left" w:pos="360"/>
                <w:tab w:val="left" w:pos="3960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663" w:type="dxa"/>
          </w:tcPr>
          <w:p w:rsidR="00AF1E2D" w:rsidRDefault="00AF1E2D" w:rsidP="00BF1454">
            <w:pPr>
              <w:tabs>
                <w:tab w:val="left" w:pos="360"/>
                <w:tab w:val="left" w:pos="3960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1E2D" w:rsidRDefault="00AF1E2D" w:rsidP="00BF1454">
            <w:pPr>
              <w:tabs>
                <w:tab w:val="left" w:pos="360"/>
                <w:tab w:val="left" w:pos="3960"/>
              </w:tabs>
              <w:rPr>
                <w:sz w:val="22"/>
                <w:szCs w:val="22"/>
                <w:lang w:val="lv-LV"/>
              </w:rPr>
            </w:pPr>
          </w:p>
        </w:tc>
      </w:tr>
      <w:tr w:rsidR="00AF1E2D" w:rsidTr="00BF1454">
        <w:trPr>
          <w:trHeight w:val="357"/>
        </w:trPr>
        <w:tc>
          <w:tcPr>
            <w:tcW w:w="619" w:type="dxa"/>
          </w:tcPr>
          <w:p w:rsidR="00AF1E2D" w:rsidRDefault="00AF1E2D" w:rsidP="00BF1454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Uz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E2D" w:rsidRPr="001B10F6" w:rsidRDefault="00AF1E2D" w:rsidP="00BF1454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</w:p>
        </w:tc>
        <w:tc>
          <w:tcPr>
            <w:tcW w:w="663" w:type="dxa"/>
          </w:tcPr>
          <w:p w:rsidR="00AF1E2D" w:rsidRDefault="00AF1E2D" w:rsidP="00BF1454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Nr.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E2D" w:rsidRDefault="00AF1E2D" w:rsidP="00BF1454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</w:p>
        </w:tc>
      </w:tr>
    </w:tbl>
    <w:p w:rsidR="00AF1E2D" w:rsidRDefault="00AF1E2D" w:rsidP="00AF1E2D">
      <w:pPr>
        <w:jc w:val="center"/>
        <w:rPr>
          <w:sz w:val="16"/>
          <w:szCs w:val="16"/>
          <w:lang w:val="lv-LV"/>
        </w:rPr>
      </w:pPr>
    </w:p>
    <w:tbl>
      <w:tblPr>
        <w:tblW w:w="10682" w:type="dxa"/>
        <w:tblLook w:val="0000" w:firstRow="0" w:lastRow="0" w:firstColumn="0" w:lastColumn="0" w:noHBand="0" w:noVBand="0"/>
      </w:tblPr>
      <w:tblGrid>
        <w:gridCol w:w="4788"/>
        <w:gridCol w:w="360"/>
        <w:gridCol w:w="5534"/>
      </w:tblGrid>
      <w:tr w:rsidR="00AF1E2D" w:rsidTr="00E80B6F">
        <w:trPr>
          <w:gridBefore w:val="2"/>
          <w:wBefore w:w="5148" w:type="dxa"/>
        </w:trPr>
        <w:tc>
          <w:tcPr>
            <w:tcW w:w="5534" w:type="dxa"/>
          </w:tcPr>
          <w:p w:rsidR="00AF1E2D" w:rsidRPr="00F00006" w:rsidRDefault="00AF1E2D" w:rsidP="00BF1454">
            <w:pPr>
              <w:ind w:right="1122"/>
              <w:jc w:val="right"/>
              <w:rPr>
                <w:sz w:val="26"/>
                <w:szCs w:val="26"/>
                <w:lang w:val="lv-LV"/>
              </w:rPr>
            </w:pPr>
          </w:p>
        </w:tc>
      </w:tr>
      <w:tr w:rsidR="00AF1E2D" w:rsidTr="00BF1454">
        <w:trPr>
          <w:gridAfter w:val="2"/>
          <w:wAfter w:w="5894" w:type="dxa"/>
        </w:trPr>
        <w:tc>
          <w:tcPr>
            <w:tcW w:w="4788" w:type="dxa"/>
          </w:tcPr>
          <w:p w:rsidR="00AF1E2D" w:rsidRDefault="00AF1E2D" w:rsidP="00B63426">
            <w:pPr>
              <w:ind w:right="-248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P</w:t>
            </w:r>
            <w:r w:rsidRPr="00ED1021">
              <w:rPr>
                <w:sz w:val="26"/>
                <w:szCs w:val="26"/>
                <w:lang w:val="lv-LV"/>
              </w:rPr>
              <w:t xml:space="preserve">ar </w:t>
            </w:r>
            <w:r>
              <w:rPr>
                <w:sz w:val="26"/>
                <w:szCs w:val="26"/>
                <w:lang w:val="lv-LV"/>
              </w:rPr>
              <w:t xml:space="preserve">atklāta </w:t>
            </w:r>
            <w:r w:rsidRPr="00ED1021">
              <w:rPr>
                <w:sz w:val="26"/>
                <w:szCs w:val="26"/>
                <w:lang w:val="lv-LV"/>
              </w:rPr>
              <w:t xml:space="preserve">konkursa </w:t>
            </w:r>
            <w:r w:rsidR="00B63426">
              <w:rPr>
                <w:sz w:val="26"/>
                <w:szCs w:val="26"/>
                <w:lang w:val="lv-LV"/>
              </w:rPr>
              <w:t>“</w:t>
            </w:r>
            <w:r>
              <w:rPr>
                <w:sz w:val="26"/>
                <w:szCs w:val="26"/>
                <w:lang w:val="lv-LV"/>
              </w:rPr>
              <w:t xml:space="preserve">Par degvielas iegādi” </w:t>
            </w:r>
            <w:proofErr w:type="spellStart"/>
            <w:r w:rsidR="00B63426">
              <w:rPr>
                <w:sz w:val="26"/>
                <w:szCs w:val="26"/>
                <w:lang w:val="lv-LV"/>
              </w:rPr>
              <w:t>id.Nr</w:t>
            </w:r>
            <w:proofErr w:type="spellEnd"/>
            <w:r w:rsidR="00B63426">
              <w:rPr>
                <w:sz w:val="26"/>
                <w:szCs w:val="26"/>
                <w:lang w:val="lv-LV"/>
              </w:rPr>
              <w:t xml:space="preserve"> RPP 2017/20 </w:t>
            </w:r>
            <w:r w:rsidR="005B7D9C">
              <w:rPr>
                <w:sz w:val="26"/>
                <w:szCs w:val="26"/>
                <w:lang w:val="lv-LV"/>
              </w:rPr>
              <w:t>vidējās degvielas cenas norādīšanu</w:t>
            </w:r>
          </w:p>
        </w:tc>
      </w:tr>
    </w:tbl>
    <w:p w:rsidR="00E80B6F" w:rsidRPr="00ED1021" w:rsidRDefault="00E80B6F" w:rsidP="00E80B6F">
      <w:pPr>
        <w:jc w:val="both"/>
        <w:rPr>
          <w:sz w:val="26"/>
          <w:szCs w:val="26"/>
          <w:lang w:val="lv-LV"/>
        </w:rPr>
      </w:pPr>
    </w:p>
    <w:tbl>
      <w:tblPr>
        <w:tblW w:w="10858" w:type="dxa"/>
        <w:tblLook w:val="0000" w:firstRow="0" w:lastRow="0" w:firstColumn="0" w:lastColumn="0" w:noHBand="0" w:noVBand="0"/>
      </w:tblPr>
      <w:tblGrid>
        <w:gridCol w:w="9464"/>
        <w:gridCol w:w="1394"/>
      </w:tblGrid>
      <w:tr w:rsidR="007555C5" w:rsidRPr="007555C5" w:rsidTr="003B13FB">
        <w:trPr>
          <w:trHeight w:val="567"/>
        </w:trPr>
        <w:tc>
          <w:tcPr>
            <w:tcW w:w="9464" w:type="dxa"/>
          </w:tcPr>
          <w:p w:rsidR="001A2D20" w:rsidRPr="00BF7FB8" w:rsidRDefault="00E80B6F" w:rsidP="003B13FB">
            <w:pPr>
              <w:ind w:right="-108" w:firstLine="720"/>
              <w:jc w:val="both"/>
              <w:rPr>
                <w:sz w:val="26"/>
                <w:szCs w:val="26"/>
                <w:lang w:val="lv-LV"/>
              </w:rPr>
            </w:pPr>
            <w:r w:rsidRPr="007555C5">
              <w:rPr>
                <w:sz w:val="26"/>
                <w:szCs w:val="26"/>
                <w:lang w:val="lv-LV"/>
              </w:rPr>
              <w:t>Rīgas pašvaldības policijā</w:t>
            </w:r>
            <w:r w:rsidR="006A232A" w:rsidRPr="007555C5">
              <w:rPr>
                <w:sz w:val="26"/>
                <w:szCs w:val="26"/>
                <w:lang w:val="lv-LV"/>
              </w:rPr>
              <w:t xml:space="preserve"> (turpmāk – RPP)</w:t>
            </w:r>
            <w:r w:rsidRPr="007555C5">
              <w:rPr>
                <w:sz w:val="26"/>
                <w:szCs w:val="26"/>
                <w:lang w:val="lv-LV"/>
              </w:rPr>
              <w:t xml:space="preserve"> </w:t>
            </w:r>
            <w:r w:rsidR="005B7D9C">
              <w:rPr>
                <w:sz w:val="26"/>
                <w:szCs w:val="26"/>
                <w:lang w:val="lv-LV"/>
              </w:rPr>
              <w:t xml:space="preserve">18.09.2017. </w:t>
            </w:r>
            <w:r w:rsidRPr="007555C5">
              <w:rPr>
                <w:sz w:val="26"/>
                <w:szCs w:val="26"/>
                <w:lang w:val="lv-LV"/>
              </w:rPr>
              <w:t xml:space="preserve">saņemta </w:t>
            </w:r>
            <w:r w:rsidRPr="00BF7FB8">
              <w:rPr>
                <w:sz w:val="26"/>
                <w:szCs w:val="26"/>
                <w:lang w:val="lv-LV"/>
              </w:rPr>
              <w:t>ieinteresētā pretendenta vēstule saistībā ar RP</w:t>
            </w:r>
            <w:r w:rsidR="00B63426">
              <w:rPr>
                <w:sz w:val="26"/>
                <w:szCs w:val="26"/>
                <w:lang w:val="lv-LV"/>
              </w:rPr>
              <w:t>P izsludināto atklāto konkursu “</w:t>
            </w:r>
            <w:r w:rsidRPr="00BF7FB8">
              <w:rPr>
                <w:sz w:val="26"/>
                <w:szCs w:val="26"/>
                <w:lang w:val="lv-LV"/>
              </w:rPr>
              <w:t>Par degvielas iegādi”, identifikācijas numurs RPP 20</w:t>
            </w:r>
            <w:r w:rsidR="001A2D20" w:rsidRPr="00BF7FB8">
              <w:rPr>
                <w:sz w:val="26"/>
                <w:szCs w:val="26"/>
                <w:lang w:val="lv-LV"/>
              </w:rPr>
              <w:t>1</w:t>
            </w:r>
            <w:r w:rsidR="00B63426">
              <w:rPr>
                <w:sz w:val="26"/>
                <w:szCs w:val="26"/>
                <w:lang w:val="lv-LV"/>
              </w:rPr>
              <w:t>7</w:t>
            </w:r>
            <w:r w:rsidR="001A2D20" w:rsidRPr="00BF7FB8">
              <w:rPr>
                <w:sz w:val="26"/>
                <w:szCs w:val="26"/>
                <w:lang w:val="lv-LV"/>
              </w:rPr>
              <w:t>/</w:t>
            </w:r>
            <w:r w:rsidR="00B63426">
              <w:rPr>
                <w:sz w:val="26"/>
                <w:szCs w:val="26"/>
                <w:lang w:val="lv-LV"/>
              </w:rPr>
              <w:t>20</w:t>
            </w:r>
            <w:r w:rsidR="006A232A" w:rsidRPr="00BF7FB8">
              <w:rPr>
                <w:sz w:val="26"/>
                <w:szCs w:val="26"/>
                <w:lang w:val="lv-LV"/>
              </w:rPr>
              <w:t xml:space="preserve"> (</w:t>
            </w:r>
            <w:r w:rsidR="001A2D20" w:rsidRPr="00BF7FB8">
              <w:rPr>
                <w:sz w:val="26"/>
                <w:szCs w:val="26"/>
                <w:lang w:val="lv-LV"/>
              </w:rPr>
              <w:t>turpmāk – konkurss</w:t>
            </w:r>
            <w:r w:rsidR="006A232A" w:rsidRPr="00BF7FB8">
              <w:rPr>
                <w:sz w:val="26"/>
                <w:szCs w:val="26"/>
                <w:lang w:val="lv-LV"/>
              </w:rPr>
              <w:t>)</w:t>
            </w:r>
            <w:r w:rsidR="001A2D20" w:rsidRPr="00BF7FB8">
              <w:rPr>
                <w:sz w:val="26"/>
                <w:szCs w:val="26"/>
                <w:lang w:val="lv-LV"/>
              </w:rPr>
              <w:t>.</w:t>
            </w:r>
          </w:p>
          <w:p w:rsidR="005B7D9C" w:rsidRDefault="00DD1C1F" w:rsidP="003B13FB">
            <w:pPr>
              <w:ind w:right="-108" w:firstLine="720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Pretendent</w:t>
            </w:r>
            <w:r w:rsidR="00B93995" w:rsidRPr="00BF7FB8">
              <w:rPr>
                <w:sz w:val="26"/>
                <w:szCs w:val="26"/>
                <w:lang w:val="lv-LV"/>
              </w:rPr>
              <w:t xml:space="preserve">s vēstulē </w:t>
            </w:r>
            <w:r w:rsidR="005B7D9C">
              <w:rPr>
                <w:sz w:val="26"/>
                <w:szCs w:val="26"/>
                <w:lang w:val="lv-LV"/>
              </w:rPr>
              <w:t xml:space="preserve">lūdz precizēt </w:t>
            </w:r>
            <w:r w:rsidR="005B7D9C">
              <w:rPr>
                <w:sz w:val="26"/>
                <w:szCs w:val="26"/>
                <w:lang w:val="lv-LV"/>
              </w:rPr>
              <w:t>vai, sakarā ar to, ka veikti grozījumi konkursa nolikumā, finanšu piedāvājumā vidējā degvielas cena Rīgā ir jānorāda uz 25.08.2017. (atklāta konkursa izsludināšanas diena Iepirkumu uzraudzības biroja (turpmāk – IUB) mājas lapā) vai uz 16.09.2017. (konkursa nolikuma grozījumu publicēšanas diena IUB mājas lapā).</w:t>
            </w:r>
          </w:p>
          <w:p w:rsidR="005B7D9C" w:rsidRDefault="005B7D9C" w:rsidP="005B7D9C">
            <w:pPr>
              <w:ind w:firstLine="720"/>
              <w:jc w:val="both"/>
              <w:rPr>
                <w:sz w:val="26"/>
                <w:szCs w:val="26"/>
                <w:lang w:val="lv-LV"/>
              </w:rPr>
            </w:pPr>
          </w:p>
          <w:p w:rsidR="005B7D9C" w:rsidRDefault="005B7D9C" w:rsidP="005B7D9C">
            <w:pPr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Atbilde: </w:t>
            </w:r>
          </w:p>
          <w:p w:rsidR="005B7D9C" w:rsidRDefault="005B7D9C" w:rsidP="003B13FB">
            <w:pPr>
              <w:pStyle w:val="naisf"/>
              <w:spacing w:before="0" w:beforeAutospacing="0" w:after="0" w:afterAutospacing="0"/>
              <w:ind w:right="-108" w:firstLine="720"/>
              <w:rPr>
                <w:b/>
                <w:sz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RPP informē, ka konkursa nolikuma 3.12.1.apakšpunktā norādīts: “</w:t>
            </w:r>
            <w:r>
              <w:rPr>
                <w:sz w:val="26"/>
                <w:lang w:val="lv-LV"/>
              </w:rPr>
              <w:t xml:space="preserve">Finanšu piedāvājumā pretendentam jānorāda </w:t>
            </w:r>
            <w:r w:rsidRPr="000C0E62">
              <w:rPr>
                <w:sz w:val="26"/>
                <w:szCs w:val="26"/>
                <w:lang w:val="lv-LV"/>
              </w:rPr>
              <w:t>šajā Nolikumā prasīto degvielas veidu cenu (cena, kas ir vidējā mazumtirdzniecības cena pretendenta degvielas uzpildes stac</w:t>
            </w:r>
            <w:r>
              <w:rPr>
                <w:sz w:val="26"/>
                <w:szCs w:val="26"/>
                <w:lang w:val="lv-LV"/>
              </w:rPr>
              <w:t xml:space="preserve">ijās Rīgā, </w:t>
            </w:r>
            <w:r w:rsidRPr="002272B4">
              <w:rPr>
                <w:b/>
                <w:sz w:val="26"/>
                <w:szCs w:val="26"/>
                <w:lang w:val="lv-LV"/>
              </w:rPr>
              <w:t>uz šī atklātā konkursa izsludināšanas dienu IUB mājas lapā internetā</w:t>
            </w:r>
            <w:r>
              <w:rPr>
                <w:sz w:val="26"/>
                <w:szCs w:val="26"/>
                <w:lang w:val="lv-LV"/>
              </w:rPr>
              <w:t xml:space="preserve"> – </w:t>
            </w:r>
            <w:hyperlink r:id="rId9" w:history="1">
              <w:r w:rsidRPr="00D41DFF">
                <w:rPr>
                  <w:rStyle w:val="Hipersaite"/>
                  <w:sz w:val="26"/>
                  <w:szCs w:val="26"/>
                </w:rPr>
                <w:t>www.iub.gov.lv</w:t>
              </w:r>
            </w:hyperlink>
            <w:r w:rsidRPr="000C0E62">
              <w:rPr>
                <w:sz w:val="26"/>
                <w:szCs w:val="26"/>
                <w:lang w:val="lv-LV"/>
              </w:rPr>
              <w:t xml:space="preserve">) bez pievienotās vērtības nodokļa 1 (vienam) litram, atbilstoši </w:t>
            </w:r>
            <w:r>
              <w:rPr>
                <w:sz w:val="26"/>
                <w:szCs w:val="26"/>
                <w:lang w:val="lv-LV"/>
              </w:rPr>
              <w:t>finanšu piedāvājuma formai (3.p</w:t>
            </w:r>
            <w:r w:rsidRPr="000C0E62">
              <w:rPr>
                <w:sz w:val="26"/>
                <w:szCs w:val="26"/>
                <w:lang w:val="lv-LV"/>
              </w:rPr>
              <w:t>ielikums)</w:t>
            </w:r>
            <w:r>
              <w:rPr>
                <w:sz w:val="26"/>
                <w:szCs w:val="26"/>
                <w:lang w:val="lv-LV"/>
              </w:rPr>
              <w:t>”, tātad finanšu piedāvājumā vidējā degvielas cena Rīgā jānorāda uz 25.08.2017.</w:t>
            </w:r>
          </w:p>
          <w:p w:rsidR="005B7D9C" w:rsidRDefault="005B7D9C" w:rsidP="00D26842">
            <w:pPr>
              <w:ind w:firstLine="720"/>
              <w:jc w:val="both"/>
              <w:rPr>
                <w:sz w:val="26"/>
                <w:szCs w:val="26"/>
                <w:lang w:val="lv-LV"/>
              </w:rPr>
            </w:pPr>
          </w:p>
          <w:p w:rsidR="005B7D9C" w:rsidRDefault="005B7D9C" w:rsidP="00D26842">
            <w:pPr>
              <w:ind w:firstLine="720"/>
              <w:jc w:val="both"/>
              <w:rPr>
                <w:sz w:val="26"/>
                <w:szCs w:val="26"/>
                <w:lang w:val="lv-LV"/>
              </w:rPr>
            </w:pPr>
          </w:p>
          <w:p w:rsidR="007555C5" w:rsidRPr="007555C5" w:rsidRDefault="007555C5" w:rsidP="00B31A8F">
            <w:pPr>
              <w:jc w:val="both"/>
              <w:rPr>
                <w:sz w:val="26"/>
                <w:szCs w:val="26"/>
                <w:lang w:val="lv-LV"/>
              </w:rPr>
            </w:pPr>
          </w:p>
          <w:p w:rsidR="00E80B6F" w:rsidRPr="007555C5" w:rsidRDefault="005B7D9C" w:rsidP="003B13FB">
            <w:pPr>
              <w:tabs>
                <w:tab w:val="left" w:pos="8505"/>
              </w:tabs>
              <w:ind w:right="-108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Iepirkuma</w:t>
            </w:r>
            <w:r w:rsidR="00E80B6F" w:rsidRPr="007555C5">
              <w:rPr>
                <w:sz w:val="26"/>
                <w:szCs w:val="26"/>
                <w:lang w:val="lv-LV"/>
              </w:rPr>
              <w:t xml:space="preserve"> komisijas priekšsēdētājs</w:t>
            </w:r>
            <w:r>
              <w:rPr>
                <w:sz w:val="26"/>
                <w:szCs w:val="26"/>
                <w:lang w:val="lv-LV"/>
              </w:rPr>
              <w:t xml:space="preserve">                                                                  </w:t>
            </w:r>
            <w:r w:rsidR="003B13FB">
              <w:rPr>
                <w:sz w:val="26"/>
                <w:szCs w:val="26"/>
                <w:lang w:val="lv-LV"/>
              </w:rPr>
              <w:t xml:space="preserve">    </w:t>
            </w:r>
            <w:r>
              <w:rPr>
                <w:sz w:val="26"/>
                <w:szCs w:val="26"/>
                <w:lang w:val="lv-LV"/>
              </w:rPr>
              <w:t xml:space="preserve">  </w:t>
            </w:r>
            <w:r w:rsidR="00962B6E">
              <w:rPr>
                <w:sz w:val="26"/>
                <w:szCs w:val="26"/>
                <w:lang w:val="lv-LV"/>
              </w:rPr>
              <w:t>L.Kudiņš</w:t>
            </w:r>
          </w:p>
          <w:p w:rsidR="00E80B6F" w:rsidRDefault="00E80B6F" w:rsidP="00B31A8F">
            <w:pPr>
              <w:rPr>
                <w:sz w:val="26"/>
                <w:szCs w:val="26"/>
                <w:lang w:val="lv-LV"/>
              </w:rPr>
            </w:pPr>
          </w:p>
          <w:p w:rsidR="00632FD0" w:rsidRPr="007555C5" w:rsidRDefault="00632FD0" w:rsidP="00B31A8F">
            <w:pPr>
              <w:rPr>
                <w:sz w:val="26"/>
                <w:szCs w:val="26"/>
                <w:lang w:val="lv-LV"/>
              </w:rPr>
            </w:pPr>
          </w:p>
          <w:p w:rsidR="00E80B6F" w:rsidRPr="007555C5" w:rsidRDefault="00E80B6F" w:rsidP="0041071D">
            <w:pPr>
              <w:rPr>
                <w:sz w:val="22"/>
                <w:szCs w:val="22"/>
                <w:lang w:val="lv-LV"/>
              </w:rPr>
            </w:pPr>
            <w:r w:rsidRPr="007555C5">
              <w:rPr>
                <w:sz w:val="22"/>
                <w:szCs w:val="22"/>
                <w:lang w:val="lv-LV"/>
              </w:rPr>
              <w:t>P</w:t>
            </w:r>
            <w:r w:rsidR="0041071D">
              <w:rPr>
                <w:sz w:val="22"/>
                <w:szCs w:val="22"/>
                <w:lang w:val="lv-LV"/>
              </w:rPr>
              <w:t>ētersone</w:t>
            </w:r>
            <w:r w:rsidRPr="007555C5">
              <w:rPr>
                <w:sz w:val="22"/>
                <w:szCs w:val="22"/>
                <w:lang w:val="lv-LV"/>
              </w:rPr>
              <w:t xml:space="preserve"> 6703</w:t>
            </w:r>
            <w:r w:rsidR="0041071D">
              <w:rPr>
                <w:sz w:val="22"/>
                <w:szCs w:val="22"/>
                <w:lang w:val="lv-LV"/>
              </w:rPr>
              <w:t>7854</w:t>
            </w:r>
          </w:p>
        </w:tc>
        <w:tc>
          <w:tcPr>
            <w:tcW w:w="1394" w:type="dxa"/>
          </w:tcPr>
          <w:p w:rsidR="00E80B6F" w:rsidRPr="007555C5" w:rsidRDefault="00E80B6F" w:rsidP="00B31A8F">
            <w:pPr>
              <w:jc w:val="both"/>
              <w:rPr>
                <w:sz w:val="26"/>
                <w:szCs w:val="26"/>
                <w:lang w:val="lv-LV"/>
              </w:rPr>
            </w:pPr>
          </w:p>
          <w:p w:rsidR="00E80B6F" w:rsidRPr="007555C5" w:rsidRDefault="00E80B6F" w:rsidP="00B31A8F">
            <w:pPr>
              <w:jc w:val="both"/>
              <w:rPr>
                <w:sz w:val="26"/>
                <w:szCs w:val="26"/>
                <w:lang w:val="lv-LV"/>
              </w:rPr>
            </w:pPr>
          </w:p>
        </w:tc>
      </w:tr>
    </w:tbl>
    <w:p w:rsidR="002E27FB" w:rsidRDefault="002E27FB"/>
    <w:sectPr w:rsidR="002E27FB" w:rsidSect="00AF1E2D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77780"/>
    <w:multiLevelType w:val="hybridMultilevel"/>
    <w:tmpl w:val="5DF61256"/>
    <w:lvl w:ilvl="0" w:tplc="EFA2B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2D"/>
    <w:rsid w:val="00085452"/>
    <w:rsid w:val="000C5453"/>
    <w:rsid w:val="00116FD3"/>
    <w:rsid w:val="00123E6C"/>
    <w:rsid w:val="00163DB9"/>
    <w:rsid w:val="00165931"/>
    <w:rsid w:val="001A2D20"/>
    <w:rsid w:val="001A4D6D"/>
    <w:rsid w:val="001E0062"/>
    <w:rsid w:val="00265277"/>
    <w:rsid w:val="002E27FB"/>
    <w:rsid w:val="003070CF"/>
    <w:rsid w:val="003B13FB"/>
    <w:rsid w:val="003D4761"/>
    <w:rsid w:val="004044F2"/>
    <w:rsid w:val="0041071D"/>
    <w:rsid w:val="004435D4"/>
    <w:rsid w:val="004673DA"/>
    <w:rsid w:val="004D4899"/>
    <w:rsid w:val="004E1204"/>
    <w:rsid w:val="005550CF"/>
    <w:rsid w:val="005B7D9C"/>
    <w:rsid w:val="005F15ED"/>
    <w:rsid w:val="00632FD0"/>
    <w:rsid w:val="00651881"/>
    <w:rsid w:val="00685EC8"/>
    <w:rsid w:val="006A232A"/>
    <w:rsid w:val="006A2885"/>
    <w:rsid w:val="006F4DE9"/>
    <w:rsid w:val="00714C9A"/>
    <w:rsid w:val="007555C5"/>
    <w:rsid w:val="007647A5"/>
    <w:rsid w:val="007A4D97"/>
    <w:rsid w:val="007D40B2"/>
    <w:rsid w:val="007E71F5"/>
    <w:rsid w:val="008A10FD"/>
    <w:rsid w:val="008B3064"/>
    <w:rsid w:val="00907060"/>
    <w:rsid w:val="00962B6E"/>
    <w:rsid w:val="0096739A"/>
    <w:rsid w:val="009B7CD3"/>
    <w:rsid w:val="00A736A0"/>
    <w:rsid w:val="00A903AA"/>
    <w:rsid w:val="00AF1E2D"/>
    <w:rsid w:val="00B52EDE"/>
    <w:rsid w:val="00B54CC5"/>
    <w:rsid w:val="00B63426"/>
    <w:rsid w:val="00B93995"/>
    <w:rsid w:val="00BF7FB8"/>
    <w:rsid w:val="00C364A8"/>
    <w:rsid w:val="00C705A8"/>
    <w:rsid w:val="00D22615"/>
    <w:rsid w:val="00D26842"/>
    <w:rsid w:val="00D869E8"/>
    <w:rsid w:val="00D931C1"/>
    <w:rsid w:val="00DD1C1F"/>
    <w:rsid w:val="00DD6125"/>
    <w:rsid w:val="00DF5DE4"/>
    <w:rsid w:val="00E532FF"/>
    <w:rsid w:val="00E7374F"/>
    <w:rsid w:val="00E80B6F"/>
    <w:rsid w:val="00E90F40"/>
    <w:rsid w:val="00E97C67"/>
    <w:rsid w:val="00F77182"/>
    <w:rsid w:val="00F97AB7"/>
    <w:rsid w:val="00FA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F1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qFormat/>
    <w:rsid w:val="00AF1E2D"/>
    <w:pPr>
      <w:jc w:val="center"/>
    </w:pPr>
    <w:rPr>
      <w:sz w:val="40"/>
      <w:szCs w:val="40"/>
      <w:lang w:val="lv-LV"/>
    </w:rPr>
  </w:style>
  <w:style w:type="character" w:styleId="Hipersaite">
    <w:name w:val="Hyperlink"/>
    <w:rsid w:val="00AF1E2D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F1E2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F1E2D"/>
    <w:rPr>
      <w:rFonts w:ascii="Tahoma" w:eastAsia="Times New Roman" w:hAnsi="Tahoma" w:cs="Tahoma"/>
      <w:sz w:val="16"/>
      <w:szCs w:val="16"/>
      <w:lang w:val="en-US"/>
    </w:rPr>
  </w:style>
  <w:style w:type="paragraph" w:styleId="Sarakstarindkopa">
    <w:name w:val="List Paragraph"/>
    <w:basedOn w:val="Parasts"/>
    <w:uiPriority w:val="34"/>
    <w:qFormat/>
    <w:rsid w:val="00E80B6F"/>
    <w:pPr>
      <w:ind w:left="720"/>
      <w:contextualSpacing/>
    </w:pPr>
  </w:style>
  <w:style w:type="paragraph" w:customStyle="1" w:styleId="naisf">
    <w:name w:val="naisf"/>
    <w:basedOn w:val="Parasts"/>
    <w:rsid w:val="005B7D9C"/>
    <w:pPr>
      <w:spacing w:before="100" w:beforeAutospacing="1" w:after="100" w:afterAutospacing="1"/>
      <w:jc w:val="both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F1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qFormat/>
    <w:rsid w:val="00AF1E2D"/>
    <w:pPr>
      <w:jc w:val="center"/>
    </w:pPr>
    <w:rPr>
      <w:sz w:val="40"/>
      <w:szCs w:val="40"/>
      <w:lang w:val="lv-LV"/>
    </w:rPr>
  </w:style>
  <w:style w:type="character" w:styleId="Hipersaite">
    <w:name w:val="Hyperlink"/>
    <w:rsid w:val="00AF1E2D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F1E2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F1E2D"/>
    <w:rPr>
      <w:rFonts w:ascii="Tahoma" w:eastAsia="Times New Roman" w:hAnsi="Tahoma" w:cs="Tahoma"/>
      <w:sz w:val="16"/>
      <w:szCs w:val="16"/>
      <w:lang w:val="en-US"/>
    </w:rPr>
  </w:style>
  <w:style w:type="paragraph" w:styleId="Sarakstarindkopa">
    <w:name w:val="List Paragraph"/>
    <w:basedOn w:val="Parasts"/>
    <w:uiPriority w:val="34"/>
    <w:qFormat/>
    <w:rsid w:val="00E80B6F"/>
    <w:pPr>
      <w:ind w:left="720"/>
      <w:contextualSpacing/>
    </w:pPr>
  </w:style>
  <w:style w:type="paragraph" w:customStyle="1" w:styleId="naisf">
    <w:name w:val="naisf"/>
    <w:basedOn w:val="Parasts"/>
    <w:rsid w:val="005B7D9C"/>
    <w:pPr>
      <w:spacing w:before="100" w:beforeAutospacing="1" w:after="100" w:afterAutospacing="1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p@riga.lv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D:\DOCUME~1\JURITA~1.GUR\LOCALS~1\Temp\RDLIS\Rigas_gerbonis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ub.gov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992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Petrena</dc:creator>
  <cp:lastModifiedBy>Ruta Pētersone</cp:lastModifiedBy>
  <cp:revision>24</cp:revision>
  <cp:lastPrinted>2014-09-25T07:12:00Z</cp:lastPrinted>
  <dcterms:created xsi:type="dcterms:W3CDTF">2014-09-24T14:10:00Z</dcterms:created>
  <dcterms:modified xsi:type="dcterms:W3CDTF">2017-09-18T09:48:00Z</dcterms:modified>
</cp:coreProperties>
</file>