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2D" w:rsidRDefault="00AF1E2D" w:rsidP="003D4761">
      <w:pPr>
        <w:jc w:val="center"/>
      </w:pPr>
      <w:r>
        <w:rPr>
          <w:noProof/>
          <w:lang w:val="lv-LV" w:eastAsia="lv-LV"/>
        </w:rPr>
        <w:drawing>
          <wp:inline distT="0" distB="0" distL="0" distR="0" wp14:anchorId="665D00E6" wp14:editId="18F86301">
            <wp:extent cx="542925" cy="723900"/>
            <wp:effectExtent l="0" t="0" r="9525" b="0"/>
            <wp:docPr id="1" name="Attēls 1" descr="D:\DOCUME~1\JURITA~1.GUR\LOCALS~1\Temp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~1\JURITA~1.GUR\LOCALS~1\Temp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E2D" w:rsidRDefault="00AF1E2D" w:rsidP="00AF1E2D">
      <w:pPr>
        <w:jc w:val="center"/>
        <w:rPr>
          <w:sz w:val="22"/>
          <w:szCs w:val="22"/>
        </w:rPr>
      </w:pPr>
    </w:p>
    <w:p w:rsidR="00AF1E2D" w:rsidRDefault="00AF1E2D" w:rsidP="00AF1E2D">
      <w:pPr>
        <w:pStyle w:val="Parakstszemobjekta"/>
        <w:rPr>
          <w:sz w:val="36"/>
          <w:szCs w:val="36"/>
        </w:rPr>
      </w:pPr>
      <w:r>
        <w:rPr>
          <w:sz w:val="36"/>
          <w:szCs w:val="36"/>
        </w:rPr>
        <w:t>RĪGAS PAŠVALDĪBAS POLICIJA</w:t>
      </w:r>
    </w:p>
    <w:p w:rsidR="00AF1E2D" w:rsidRDefault="00AF1E2D" w:rsidP="00AF1E2D">
      <w:pPr>
        <w:tabs>
          <w:tab w:val="left" w:pos="3960"/>
        </w:tabs>
        <w:ind w:left="-540" w:right="-908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Lomonosova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iela</w:t>
      </w:r>
      <w:proofErr w:type="spellEnd"/>
      <w:r>
        <w:rPr>
          <w:sz w:val="22"/>
          <w:szCs w:val="22"/>
        </w:rPr>
        <w:t xml:space="preserve"> 12</w:t>
      </w:r>
      <w:r w:rsidR="00B63426">
        <w:rPr>
          <w:sz w:val="22"/>
          <w:szCs w:val="22"/>
        </w:rPr>
        <w:t>A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Rīga</w:t>
      </w:r>
      <w:proofErr w:type="spellEnd"/>
      <w:r>
        <w:rPr>
          <w:sz w:val="22"/>
          <w:szCs w:val="22"/>
        </w:rPr>
        <w:t xml:space="preserve">, LV-1019, </w:t>
      </w:r>
      <w:proofErr w:type="spellStart"/>
      <w:r>
        <w:rPr>
          <w:sz w:val="22"/>
          <w:szCs w:val="22"/>
        </w:rPr>
        <w:t>tālrunis</w:t>
      </w:r>
      <w:proofErr w:type="spellEnd"/>
      <w:r>
        <w:rPr>
          <w:sz w:val="22"/>
          <w:szCs w:val="22"/>
        </w:rPr>
        <w:t xml:space="preserve"> 67037803,</w:t>
      </w:r>
    </w:p>
    <w:p w:rsidR="00AF1E2D" w:rsidRDefault="00AF1E2D" w:rsidP="00AF1E2D">
      <w:pPr>
        <w:tabs>
          <w:tab w:val="left" w:pos="3960"/>
        </w:tabs>
        <w:ind w:left="-540" w:right="-908"/>
        <w:jc w:val="center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fakss</w:t>
      </w:r>
      <w:proofErr w:type="spellEnd"/>
      <w:proofErr w:type="gramEnd"/>
      <w:r>
        <w:rPr>
          <w:sz w:val="22"/>
          <w:szCs w:val="22"/>
        </w:rPr>
        <w:t xml:space="preserve"> 67037895,e-pasts: </w:t>
      </w:r>
      <w:hyperlink r:id="rId8" w:history="1">
        <w:r w:rsidRPr="007F2D10">
          <w:rPr>
            <w:rStyle w:val="Hipersaite"/>
            <w:sz w:val="22"/>
            <w:szCs w:val="22"/>
          </w:rPr>
          <w:t>rpp@riga.lv</w:t>
        </w:r>
      </w:hyperlink>
    </w:p>
    <w:p w:rsidR="00AF1E2D" w:rsidRDefault="00AF1E2D" w:rsidP="00AF1E2D">
      <w:pPr>
        <w:tabs>
          <w:tab w:val="left" w:pos="3960"/>
        </w:tabs>
        <w:jc w:val="center"/>
        <w:rPr>
          <w:sz w:val="22"/>
          <w:szCs w:val="22"/>
        </w:rPr>
      </w:pPr>
    </w:p>
    <w:p w:rsidR="00AF1E2D" w:rsidRDefault="00AF1E2D" w:rsidP="00AF1E2D">
      <w:pPr>
        <w:tabs>
          <w:tab w:val="left" w:pos="3960"/>
        </w:tabs>
        <w:jc w:val="both"/>
        <w:rPr>
          <w:sz w:val="26"/>
          <w:szCs w:val="26"/>
          <w:lang w:val="lv-LV"/>
        </w:rPr>
      </w:pPr>
    </w:p>
    <w:p w:rsidR="00AF1E2D" w:rsidRDefault="00AF1E2D" w:rsidP="00AF1E2D">
      <w:pPr>
        <w:tabs>
          <w:tab w:val="left" w:pos="1440"/>
          <w:tab w:val="center" w:pos="4629"/>
        </w:tabs>
        <w:spacing w:after="28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</w:t>
      </w:r>
      <w:r>
        <w:rPr>
          <w:sz w:val="26"/>
          <w:szCs w:val="26"/>
          <w:lang w:val="lv-LV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9"/>
        <w:gridCol w:w="1868"/>
        <w:gridCol w:w="663"/>
        <w:gridCol w:w="2555"/>
      </w:tblGrid>
      <w:tr w:rsidR="00AF1E2D" w:rsidTr="00BF1454">
        <w:trPr>
          <w:trHeight w:val="340"/>
        </w:trPr>
        <w:tc>
          <w:tcPr>
            <w:tcW w:w="619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  <w:tc>
          <w:tcPr>
            <w:tcW w:w="663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1.2-1</w:t>
            </w:r>
          </w:p>
        </w:tc>
      </w:tr>
      <w:tr w:rsidR="00AF1E2D" w:rsidTr="00BF1454">
        <w:trPr>
          <w:trHeight w:val="273"/>
        </w:trPr>
        <w:tc>
          <w:tcPr>
            <w:tcW w:w="619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663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2"/>
                <w:szCs w:val="22"/>
                <w:lang w:val="lv-LV"/>
              </w:rPr>
            </w:pPr>
          </w:p>
        </w:tc>
      </w:tr>
      <w:tr w:rsidR="00AF1E2D" w:rsidTr="00BF1454">
        <w:trPr>
          <w:trHeight w:val="357"/>
        </w:trPr>
        <w:tc>
          <w:tcPr>
            <w:tcW w:w="619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Uz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2D" w:rsidRPr="001B10F6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  <w:tc>
          <w:tcPr>
            <w:tcW w:w="663" w:type="dxa"/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Nr.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2D" w:rsidRDefault="00AF1E2D" w:rsidP="00BF1454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</w:p>
        </w:tc>
      </w:tr>
    </w:tbl>
    <w:p w:rsidR="00AF1E2D" w:rsidRDefault="00AF1E2D" w:rsidP="00AF1E2D">
      <w:pPr>
        <w:jc w:val="center"/>
        <w:rPr>
          <w:sz w:val="16"/>
          <w:szCs w:val="16"/>
          <w:lang w:val="lv-LV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4788"/>
        <w:gridCol w:w="360"/>
        <w:gridCol w:w="5534"/>
      </w:tblGrid>
      <w:tr w:rsidR="00AF1E2D" w:rsidTr="00E80B6F">
        <w:trPr>
          <w:gridBefore w:val="2"/>
          <w:wBefore w:w="5148" w:type="dxa"/>
        </w:trPr>
        <w:tc>
          <w:tcPr>
            <w:tcW w:w="5534" w:type="dxa"/>
          </w:tcPr>
          <w:p w:rsidR="00AF1E2D" w:rsidRPr="00F00006" w:rsidRDefault="00AF1E2D" w:rsidP="00BF1454">
            <w:pPr>
              <w:ind w:right="1122"/>
              <w:jc w:val="right"/>
              <w:rPr>
                <w:sz w:val="26"/>
                <w:szCs w:val="26"/>
                <w:lang w:val="lv-LV"/>
              </w:rPr>
            </w:pPr>
          </w:p>
        </w:tc>
      </w:tr>
      <w:tr w:rsidR="00AF1E2D" w:rsidTr="00BF1454">
        <w:trPr>
          <w:gridAfter w:val="2"/>
          <w:wAfter w:w="5894" w:type="dxa"/>
        </w:trPr>
        <w:tc>
          <w:tcPr>
            <w:tcW w:w="4788" w:type="dxa"/>
          </w:tcPr>
          <w:p w:rsidR="00AF1E2D" w:rsidRDefault="00AF1E2D" w:rsidP="00B63426">
            <w:pPr>
              <w:ind w:right="-248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</w:t>
            </w:r>
            <w:r w:rsidRPr="00ED1021">
              <w:rPr>
                <w:sz w:val="26"/>
                <w:szCs w:val="26"/>
                <w:lang w:val="lv-LV"/>
              </w:rPr>
              <w:t xml:space="preserve">ar </w:t>
            </w:r>
            <w:r>
              <w:rPr>
                <w:sz w:val="26"/>
                <w:szCs w:val="26"/>
                <w:lang w:val="lv-LV"/>
              </w:rPr>
              <w:t xml:space="preserve">atklāta </w:t>
            </w:r>
            <w:r w:rsidRPr="00ED1021">
              <w:rPr>
                <w:sz w:val="26"/>
                <w:szCs w:val="26"/>
                <w:lang w:val="lv-LV"/>
              </w:rPr>
              <w:t xml:space="preserve">konkursa </w:t>
            </w:r>
            <w:r w:rsidR="00B63426">
              <w:rPr>
                <w:sz w:val="26"/>
                <w:szCs w:val="26"/>
                <w:lang w:val="lv-LV"/>
              </w:rPr>
              <w:t>“</w:t>
            </w:r>
            <w:r>
              <w:rPr>
                <w:sz w:val="26"/>
                <w:szCs w:val="26"/>
                <w:lang w:val="lv-LV"/>
              </w:rPr>
              <w:t xml:space="preserve">Par degvielas iegādi” </w:t>
            </w:r>
            <w:proofErr w:type="spellStart"/>
            <w:r w:rsidR="00B63426">
              <w:rPr>
                <w:sz w:val="26"/>
                <w:szCs w:val="26"/>
                <w:lang w:val="lv-LV"/>
              </w:rPr>
              <w:t>id.Nr</w:t>
            </w:r>
            <w:proofErr w:type="spellEnd"/>
            <w:r w:rsidR="00B63426">
              <w:rPr>
                <w:sz w:val="26"/>
                <w:szCs w:val="26"/>
                <w:lang w:val="lv-LV"/>
              </w:rPr>
              <w:t xml:space="preserve"> RPP 2017/20 vērtēšanas kritērijiem</w:t>
            </w:r>
          </w:p>
        </w:tc>
      </w:tr>
    </w:tbl>
    <w:p w:rsidR="00E80B6F" w:rsidRPr="00ED1021" w:rsidRDefault="00E80B6F" w:rsidP="00E80B6F">
      <w:pPr>
        <w:jc w:val="both"/>
        <w:rPr>
          <w:sz w:val="26"/>
          <w:szCs w:val="26"/>
          <w:lang w:val="lv-LV"/>
        </w:rPr>
      </w:pPr>
    </w:p>
    <w:tbl>
      <w:tblPr>
        <w:tblW w:w="10682" w:type="dxa"/>
        <w:tblLook w:val="0000" w:firstRow="0" w:lastRow="0" w:firstColumn="0" w:lastColumn="0" w:noHBand="0" w:noVBand="0"/>
      </w:tblPr>
      <w:tblGrid>
        <w:gridCol w:w="9288"/>
        <w:gridCol w:w="1394"/>
      </w:tblGrid>
      <w:tr w:rsidR="007555C5" w:rsidRPr="007555C5" w:rsidTr="00B31A8F">
        <w:trPr>
          <w:trHeight w:val="567"/>
        </w:trPr>
        <w:tc>
          <w:tcPr>
            <w:tcW w:w="9288" w:type="dxa"/>
          </w:tcPr>
          <w:p w:rsidR="001A2D20" w:rsidRPr="00BF7FB8" w:rsidRDefault="00E80B6F" w:rsidP="00D26842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  <w:r w:rsidRPr="007555C5">
              <w:rPr>
                <w:sz w:val="26"/>
                <w:szCs w:val="26"/>
                <w:lang w:val="lv-LV"/>
              </w:rPr>
              <w:t>Rīgas pašvaldības policijā</w:t>
            </w:r>
            <w:r w:rsidR="006A232A" w:rsidRPr="007555C5">
              <w:rPr>
                <w:sz w:val="26"/>
                <w:szCs w:val="26"/>
                <w:lang w:val="lv-LV"/>
              </w:rPr>
              <w:t xml:space="preserve"> (turpmāk – RPP)</w:t>
            </w:r>
            <w:r w:rsidRPr="007555C5">
              <w:rPr>
                <w:sz w:val="26"/>
                <w:szCs w:val="26"/>
                <w:lang w:val="lv-LV"/>
              </w:rPr>
              <w:t xml:space="preserve"> 201</w:t>
            </w:r>
            <w:r w:rsidR="00B63426">
              <w:rPr>
                <w:sz w:val="26"/>
                <w:szCs w:val="26"/>
                <w:lang w:val="lv-LV"/>
              </w:rPr>
              <w:t>7</w:t>
            </w:r>
            <w:r w:rsidRPr="007555C5">
              <w:rPr>
                <w:sz w:val="26"/>
                <w:szCs w:val="26"/>
                <w:lang w:val="lv-LV"/>
              </w:rPr>
              <w:t xml:space="preserve">.gada </w:t>
            </w:r>
            <w:r w:rsidR="00B63426">
              <w:rPr>
                <w:sz w:val="26"/>
                <w:szCs w:val="26"/>
                <w:lang w:val="lv-LV"/>
              </w:rPr>
              <w:t>30.augustā</w:t>
            </w:r>
            <w:r w:rsidRPr="007555C5">
              <w:rPr>
                <w:sz w:val="26"/>
                <w:szCs w:val="26"/>
                <w:lang w:val="lv-LV"/>
              </w:rPr>
              <w:t xml:space="preserve"> saņemta </w:t>
            </w:r>
            <w:r w:rsidRPr="00BF7FB8">
              <w:rPr>
                <w:sz w:val="26"/>
                <w:szCs w:val="26"/>
                <w:lang w:val="lv-LV"/>
              </w:rPr>
              <w:t>ieinteresētā pretendenta vēstule saistībā ar RP</w:t>
            </w:r>
            <w:r w:rsidR="00B63426">
              <w:rPr>
                <w:sz w:val="26"/>
                <w:szCs w:val="26"/>
                <w:lang w:val="lv-LV"/>
              </w:rPr>
              <w:t>P izsludināto atklāto konkursu “</w:t>
            </w:r>
            <w:r w:rsidRPr="00BF7FB8">
              <w:rPr>
                <w:sz w:val="26"/>
                <w:szCs w:val="26"/>
                <w:lang w:val="lv-LV"/>
              </w:rPr>
              <w:t>Par degvielas iegādi”, identifikācijas numurs RPP 20</w:t>
            </w:r>
            <w:r w:rsidR="001A2D20" w:rsidRPr="00BF7FB8">
              <w:rPr>
                <w:sz w:val="26"/>
                <w:szCs w:val="26"/>
                <w:lang w:val="lv-LV"/>
              </w:rPr>
              <w:t>1</w:t>
            </w:r>
            <w:r w:rsidR="00B63426">
              <w:rPr>
                <w:sz w:val="26"/>
                <w:szCs w:val="26"/>
                <w:lang w:val="lv-LV"/>
              </w:rPr>
              <w:t>7</w:t>
            </w:r>
            <w:r w:rsidR="001A2D20" w:rsidRPr="00BF7FB8">
              <w:rPr>
                <w:sz w:val="26"/>
                <w:szCs w:val="26"/>
                <w:lang w:val="lv-LV"/>
              </w:rPr>
              <w:t>/</w:t>
            </w:r>
            <w:r w:rsidR="00B63426">
              <w:rPr>
                <w:sz w:val="26"/>
                <w:szCs w:val="26"/>
                <w:lang w:val="lv-LV"/>
              </w:rPr>
              <w:t>20</w:t>
            </w:r>
            <w:r w:rsidR="006A232A" w:rsidRPr="00BF7FB8">
              <w:rPr>
                <w:sz w:val="26"/>
                <w:szCs w:val="26"/>
                <w:lang w:val="lv-LV"/>
              </w:rPr>
              <w:t xml:space="preserve"> (</w:t>
            </w:r>
            <w:r w:rsidR="001A2D20" w:rsidRPr="00BF7FB8">
              <w:rPr>
                <w:sz w:val="26"/>
                <w:szCs w:val="26"/>
                <w:lang w:val="lv-LV"/>
              </w:rPr>
              <w:t>turpmāk – konkurss</w:t>
            </w:r>
            <w:r w:rsidR="006A232A" w:rsidRPr="00BF7FB8">
              <w:rPr>
                <w:sz w:val="26"/>
                <w:szCs w:val="26"/>
                <w:lang w:val="lv-LV"/>
              </w:rPr>
              <w:t>)</w:t>
            </w:r>
            <w:r w:rsidR="001A2D20" w:rsidRPr="00BF7FB8">
              <w:rPr>
                <w:sz w:val="26"/>
                <w:szCs w:val="26"/>
                <w:lang w:val="lv-LV"/>
              </w:rPr>
              <w:t>.</w:t>
            </w:r>
          </w:p>
          <w:p w:rsidR="00A903AA" w:rsidRDefault="00DD1C1F" w:rsidP="00D26842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Pretendent</w:t>
            </w:r>
            <w:r w:rsidR="00B93995" w:rsidRPr="00BF7FB8">
              <w:rPr>
                <w:sz w:val="26"/>
                <w:szCs w:val="26"/>
                <w:lang w:val="lv-LV"/>
              </w:rPr>
              <w:t xml:space="preserve">s vēstulē </w:t>
            </w:r>
            <w:r w:rsidR="001A4D6D" w:rsidRPr="00BF7FB8">
              <w:rPr>
                <w:sz w:val="26"/>
                <w:szCs w:val="26"/>
                <w:lang w:val="lv-LV"/>
              </w:rPr>
              <w:t xml:space="preserve">izsaka </w:t>
            </w:r>
            <w:r w:rsidR="001A2D20" w:rsidRPr="00BF7FB8">
              <w:rPr>
                <w:sz w:val="26"/>
                <w:szCs w:val="26"/>
                <w:lang w:val="lv-LV"/>
              </w:rPr>
              <w:t xml:space="preserve">iebildumus </w:t>
            </w:r>
            <w:r w:rsidR="00A903AA">
              <w:rPr>
                <w:sz w:val="26"/>
                <w:szCs w:val="26"/>
                <w:lang w:val="lv-LV"/>
              </w:rPr>
              <w:t>par</w:t>
            </w:r>
            <w:r w:rsidR="001A2D20" w:rsidRPr="00BF7FB8">
              <w:rPr>
                <w:sz w:val="26"/>
                <w:szCs w:val="26"/>
                <w:lang w:val="lv-LV"/>
              </w:rPr>
              <w:t xml:space="preserve"> konkursa</w:t>
            </w:r>
            <w:r w:rsidR="00FA377B" w:rsidRPr="00BF7FB8">
              <w:rPr>
                <w:sz w:val="26"/>
                <w:szCs w:val="26"/>
                <w:lang w:val="lv-LV"/>
              </w:rPr>
              <w:t xml:space="preserve"> nolikum</w:t>
            </w:r>
            <w:r w:rsidR="00A903AA">
              <w:rPr>
                <w:sz w:val="26"/>
                <w:szCs w:val="26"/>
                <w:lang w:val="lv-LV"/>
              </w:rPr>
              <w:t>ā ietv</w:t>
            </w:r>
            <w:r w:rsidR="004673DA">
              <w:rPr>
                <w:sz w:val="26"/>
                <w:szCs w:val="26"/>
                <w:lang w:val="lv-LV"/>
              </w:rPr>
              <w:t xml:space="preserve">ertajiem vērtēšanas kritērijiem, proti, 5.11.apakšpunktā saimnieciski visizdevīgākā piedāvājuma vērtēšanas kritēriju punktu sadalījumu, saskaņā ar kuru, no 100 </w:t>
            </w:r>
            <w:r w:rsidR="00E7374F">
              <w:rPr>
                <w:sz w:val="26"/>
                <w:szCs w:val="26"/>
                <w:lang w:val="lv-LV"/>
              </w:rPr>
              <w:t xml:space="preserve">(simts) </w:t>
            </w:r>
            <w:r w:rsidR="004673DA">
              <w:rPr>
                <w:sz w:val="26"/>
                <w:szCs w:val="26"/>
                <w:lang w:val="lv-LV"/>
              </w:rPr>
              <w:t xml:space="preserve">maksimāli iespējamajiem punktiem, 70 </w:t>
            </w:r>
            <w:r w:rsidR="00123E6C">
              <w:rPr>
                <w:sz w:val="26"/>
                <w:szCs w:val="26"/>
                <w:lang w:val="lv-LV"/>
              </w:rPr>
              <w:t xml:space="preserve">(septiņdesmit) </w:t>
            </w:r>
            <w:r w:rsidR="00714C9A">
              <w:rPr>
                <w:sz w:val="26"/>
                <w:szCs w:val="26"/>
                <w:lang w:val="lv-LV"/>
              </w:rPr>
              <w:t xml:space="preserve">punkti </w:t>
            </w:r>
            <w:r w:rsidR="004673DA">
              <w:rPr>
                <w:sz w:val="26"/>
                <w:szCs w:val="26"/>
                <w:lang w:val="lv-LV"/>
              </w:rPr>
              <w:t>tiek</w:t>
            </w:r>
            <w:r w:rsidR="00714C9A">
              <w:rPr>
                <w:sz w:val="26"/>
                <w:szCs w:val="26"/>
                <w:lang w:val="lv-LV"/>
              </w:rPr>
              <w:t xml:space="preserve"> piešķirti pretendentam, kurš piedāvā vislielāko atlaidi, 20</w:t>
            </w:r>
            <w:r w:rsidR="00123E6C">
              <w:rPr>
                <w:sz w:val="26"/>
                <w:szCs w:val="26"/>
                <w:lang w:val="lv-LV"/>
              </w:rPr>
              <w:t xml:space="preserve"> (divdesmit)</w:t>
            </w:r>
            <w:r w:rsidR="00714C9A">
              <w:rPr>
                <w:sz w:val="26"/>
                <w:szCs w:val="26"/>
                <w:lang w:val="lv-LV"/>
              </w:rPr>
              <w:t xml:space="preserve"> punkti tiek piešķirti pretendentam, kurš piedāvā viszemāko piedāvājuma cenu bez atlaides, 10 </w:t>
            </w:r>
            <w:r w:rsidR="00123E6C">
              <w:rPr>
                <w:sz w:val="26"/>
                <w:szCs w:val="26"/>
                <w:lang w:val="lv-LV"/>
              </w:rPr>
              <w:t xml:space="preserve">(desmit) </w:t>
            </w:r>
            <w:r w:rsidR="00714C9A">
              <w:rPr>
                <w:sz w:val="26"/>
                <w:szCs w:val="26"/>
                <w:lang w:val="lv-LV"/>
              </w:rPr>
              <w:t xml:space="preserve">punkti tiek piešķirti pretendentam, </w:t>
            </w:r>
            <w:r w:rsidR="005F15ED">
              <w:rPr>
                <w:sz w:val="26"/>
                <w:szCs w:val="26"/>
                <w:lang w:val="lv-LV"/>
              </w:rPr>
              <w:t xml:space="preserve">kurš piedāvā vislielāko degvielas uzpildes </w:t>
            </w:r>
            <w:r w:rsidR="00116FD3">
              <w:rPr>
                <w:sz w:val="26"/>
                <w:szCs w:val="26"/>
                <w:lang w:val="lv-LV"/>
              </w:rPr>
              <w:t>staciju pārklājumu (skaitu) Rīgas pilsētā.</w:t>
            </w:r>
          </w:p>
          <w:p w:rsidR="00116FD3" w:rsidRDefault="00116FD3" w:rsidP="00D26842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Pretendents vēstulē norāda, </w:t>
            </w:r>
            <w:r w:rsidR="00D26842">
              <w:rPr>
                <w:sz w:val="26"/>
                <w:szCs w:val="26"/>
                <w:lang w:val="lv-LV"/>
              </w:rPr>
              <w:t xml:space="preserve">ka, izmantojot konkursa nolikumā minēto vērtēšanas formulu, piešķirot mazāku punktu skaitu par kritēriju </w:t>
            </w:r>
            <w:r w:rsidR="00123E6C">
              <w:rPr>
                <w:sz w:val="26"/>
                <w:szCs w:val="26"/>
                <w:lang w:val="lv-LV"/>
              </w:rPr>
              <w:t xml:space="preserve">“Kopējā piedāvājuma cena” un lielāku punktu skaitu par kritēriju “Piedāvātā atlaide procentos”, objektīvi nevar tikt sasniegts saimnieciski visizdevīgākais rezultāts, jo 1 (viena) procentpunkta soļa starpība ir 55 (piecdesmit piecas) reizes lielāka par, piemēram, 3 (trīs) centu piedāvātās kopējās cenas atšķirību, kas ir nesamērīgi. </w:t>
            </w:r>
            <w:r w:rsidR="004E1204">
              <w:rPr>
                <w:sz w:val="26"/>
                <w:szCs w:val="26"/>
                <w:lang w:val="lv-LV"/>
              </w:rPr>
              <w:t xml:space="preserve">Pretendents norāda, ka tādejādi pie līdzvērtīgiem piedāvājumiem, saskaņā ar konkursa nolikuma vērtēšanas kritērijiem, RPP izvēlētos tā pretendenta piedāvājumu, kurš iesniedza </w:t>
            </w:r>
            <w:r w:rsidR="00E7374F">
              <w:rPr>
                <w:sz w:val="26"/>
                <w:szCs w:val="26"/>
                <w:lang w:val="lv-LV"/>
              </w:rPr>
              <w:t xml:space="preserve">dārgāku </w:t>
            </w:r>
            <w:r w:rsidR="004E1204">
              <w:rPr>
                <w:sz w:val="26"/>
                <w:szCs w:val="26"/>
                <w:lang w:val="lv-LV"/>
              </w:rPr>
              <w:t>piedāvājumu ar lielāko atlaidi.</w:t>
            </w:r>
          </w:p>
          <w:p w:rsidR="004E1204" w:rsidRDefault="004E1204" w:rsidP="00D26842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Pretendents:</w:t>
            </w:r>
          </w:p>
          <w:p w:rsidR="00123E6C" w:rsidRDefault="004E1204" w:rsidP="004E1204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Lūdz </w:t>
            </w:r>
            <w:r w:rsidRPr="004E1204">
              <w:rPr>
                <w:sz w:val="26"/>
                <w:szCs w:val="26"/>
                <w:lang w:val="lv-LV"/>
              </w:rPr>
              <w:t>pārskatīt saimnieciski visizdevīgākā piedāvājuma izvērtēšanas nosacījumus, proporcionāli sadalot piešķiramo punktu skai</w:t>
            </w:r>
            <w:r>
              <w:rPr>
                <w:sz w:val="26"/>
                <w:szCs w:val="26"/>
                <w:lang w:val="lv-LV"/>
              </w:rPr>
              <w:t>tu pret nepieciešamo produktu viena litra kopējās piedāvājuma cenas;</w:t>
            </w:r>
          </w:p>
          <w:p w:rsidR="004E1204" w:rsidRDefault="005550CF" w:rsidP="004E1204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Piedāvā, nosakot saimnieciski visizdevīgāko piedāvājumu, piešķirt maksimālo punktu skaitu (90 (deviņdesmit) punktus –</w:t>
            </w:r>
            <w:r w:rsidR="00B54CC5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>cena + atlaide) tam pretendentam, kurš iesniegs zemāko piedāvā</w:t>
            </w:r>
            <w:r w:rsidR="00E97C67">
              <w:rPr>
                <w:sz w:val="26"/>
                <w:szCs w:val="26"/>
                <w:lang w:val="lv-LV"/>
              </w:rPr>
              <w:t>juma cenu kopā ar atlaidi;</w:t>
            </w:r>
          </w:p>
          <w:p w:rsidR="00D931C1" w:rsidRDefault="00D931C1" w:rsidP="004E1204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>Lūdz vērst uzmanību uz Iepirkuma uzraudzības biroja lēmumu: https://pvs.iub.gov.lv/files/lemumi/lem404277.pdf;</w:t>
            </w:r>
          </w:p>
          <w:p w:rsidR="00A903AA" w:rsidRPr="007647A5" w:rsidRDefault="007647A5" w:rsidP="00B31A8F">
            <w:pPr>
              <w:pStyle w:val="Sarakstarindkopa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Lūdz p</w:t>
            </w:r>
            <w:r w:rsidR="00E97C67">
              <w:rPr>
                <w:sz w:val="26"/>
                <w:szCs w:val="26"/>
                <w:lang w:val="lv-LV"/>
              </w:rPr>
              <w:t>apildināt konkursa līgumprojekta 6.2.apakšpunktu un/vai 7.1.4.apakšpunktu ar informāciju, ka degvielas paraugus Izpildītāja klātbūtnē Pasūtītājs un/vai tā norīkots eksperts paņem no transporta līdzekļa degvielas padeves sistēmas.</w:t>
            </w:r>
          </w:p>
          <w:p w:rsidR="007647A5" w:rsidRDefault="007647A5" w:rsidP="007647A5">
            <w:pPr>
              <w:jc w:val="both"/>
              <w:rPr>
                <w:sz w:val="26"/>
                <w:szCs w:val="26"/>
                <w:lang w:val="lv-LV"/>
              </w:rPr>
            </w:pPr>
          </w:p>
          <w:p w:rsidR="00F77182" w:rsidRDefault="00E80B6F" w:rsidP="007647A5">
            <w:pPr>
              <w:jc w:val="both"/>
              <w:rPr>
                <w:sz w:val="26"/>
                <w:szCs w:val="26"/>
                <w:lang w:val="lv-LV"/>
              </w:rPr>
            </w:pPr>
            <w:r w:rsidRPr="007555C5">
              <w:rPr>
                <w:sz w:val="26"/>
                <w:szCs w:val="26"/>
                <w:lang w:val="lv-LV"/>
              </w:rPr>
              <w:t>Atbilde</w:t>
            </w:r>
            <w:r w:rsidR="00F77182">
              <w:rPr>
                <w:sz w:val="26"/>
                <w:szCs w:val="26"/>
                <w:lang w:val="lv-LV"/>
              </w:rPr>
              <w:t>:</w:t>
            </w:r>
          </w:p>
          <w:p w:rsidR="00DF5DE4" w:rsidRDefault="00DF5DE4" w:rsidP="00DF5DE4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RPP informē</w:t>
            </w:r>
            <w:r w:rsidRPr="007555C5">
              <w:rPr>
                <w:sz w:val="26"/>
                <w:szCs w:val="26"/>
                <w:lang w:val="lv-LV"/>
              </w:rPr>
              <w:t xml:space="preserve">, ka RPP iepirkuma komisija pārskatīs </w:t>
            </w:r>
            <w:r>
              <w:rPr>
                <w:sz w:val="26"/>
                <w:szCs w:val="26"/>
                <w:lang w:val="lv-LV"/>
              </w:rPr>
              <w:t>k</w:t>
            </w:r>
            <w:r w:rsidRPr="007555C5">
              <w:rPr>
                <w:sz w:val="26"/>
                <w:szCs w:val="26"/>
                <w:lang w:val="lv-LV"/>
              </w:rPr>
              <w:t xml:space="preserve">onkursa nolikumā noteikto piedāvājumu vērtēšanas </w:t>
            </w:r>
            <w:r w:rsidR="009B7CD3">
              <w:rPr>
                <w:sz w:val="26"/>
                <w:szCs w:val="26"/>
                <w:lang w:val="lv-LV"/>
              </w:rPr>
              <w:t>kārtību</w:t>
            </w:r>
            <w:r w:rsidRPr="007555C5">
              <w:rPr>
                <w:sz w:val="26"/>
                <w:szCs w:val="26"/>
                <w:lang w:val="lv-LV"/>
              </w:rPr>
              <w:t xml:space="preserve"> un attiecīgi veiks grozījumus konkursa nolikumā. Konkursa nolikuma grozījumi tiks publicēti RPP mājas lapā un RDVIS (Rīgas domes mājas lapā).</w:t>
            </w:r>
          </w:p>
          <w:p w:rsidR="00085452" w:rsidRPr="00D931C1" w:rsidRDefault="000C5453" w:rsidP="00D931C1">
            <w:pPr>
              <w:ind w:firstLine="720"/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RPP </w:t>
            </w:r>
            <w:r w:rsidR="00E7374F">
              <w:rPr>
                <w:sz w:val="26"/>
                <w:szCs w:val="26"/>
                <w:lang w:val="lv-LV"/>
              </w:rPr>
              <w:t>papildus informē</w:t>
            </w:r>
            <w:r w:rsidRPr="00685EC8">
              <w:rPr>
                <w:sz w:val="26"/>
                <w:szCs w:val="26"/>
                <w:lang w:val="lv-LV"/>
              </w:rPr>
              <w:t xml:space="preserve">, ka konkursa līgumprojekta </w:t>
            </w:r>
            <w:r w:rsidR="00685EC8" w:rsidRPr="00685EC8">
              <w:rPr>
                <w:sz w:val="26"/>
                <w:szCs w:val="26"/>
                <w:lang w:val="lv-LV"/>
              </w:rPr>
              <w:t>6.2.apakšpunktā norādīts, ka gadījumā, ja tikusi iegādāta nekvalitatīva degviela, kā rezultātā Pasūtītājam ir radušies zaudējumi</w:t>
            </w:r>
            <w:r w:rsidR="00D931C1">
              <w:rPr>
                <w:sz w:val="26"/>
                <w:szCs w:val="26"/>
                <w:lang w:val="lv-LV"/>
              </w:rPr>
              <w:t>,</w:t>
            </w:r>
            <w:r w:rsidR="00685EC8" w:rsidRPr="00685EC8">
              <w:rPr>
                <w:sz w:val="26"/>
                <w:szCs w:val="26"/>
                <w:lang w:val="lv-LV"/>
              </w:rPr>
              <w:t xml:space="preserve"> Puses sastāda aktu, veic atbilstošu ekspertīzi un vienojas par zaudējumu atlīdzību. </w:t>
            </w:r>
            <w:r w:rsidR="00685EC8">
              <w:rPr>
                <w:sz w:val="26"/>
                <w:szCs w:val="26"/>
                <w:lang w:val="lv-LV"/>
              </w:rPr>
              <w:t xml:space="preserve">Minētajā aktā tiks norādīta kārtība, </w:t>
            </w:r>
            <w:r w:rsidR="00D931C1">
              <w:rPr>
                <w:sz w:val="26"/>
                <w:szCs w:val="26"/>
                <w:lang w:val="lv-LV"/>
              </w:rPr>
              <w:t>kādā tiks iegūti degvielas paraugi, līdz ar to</w:t>
            </w:r>
            <w:r w:rsidR="00685EC8">
              <w:rPr>
                <w:sz w:val="26"/>
                <w:szCs w:val="26"/>
                <w:lang w:val="lv-LV"/>
              </w:rPr>
              <w:t xml:space="preserve"> </w:t>
            </w:r>
            <w:r w:rsidR="00D931C1">
              <w:rPr>
                <w:sz w:val="26"/>
                <w:szCs w:val="26"/>
                <w:lang w:val="lv-LV"/>
              </w:rPr>
              <w:t>konkursa līgumprojektā nav nepieciešams norādīt nianses, kas attieca</w:t>
            </w:r>
            <w:r w:rsidR="00E7374F">
              <w:rPr>
                <w:sz w:val="26"/>
                <w:szCs w:val="26"/>
                <w:lang w:val="lv-LV"/>
              </w:rPr>
              <w:t>s uz degvielas paraugu iegūšanu</w:t>
            </w:r>
            <w:r w:rsidR="00D931C1">
              <w:rPr>
                <w:sz w:val="26"/>
                <w:szCs w:val="26"/>
                <w:lang w:val="lv-LV"/>
              </w:rPr>
              <w:t>.</w:t>
            </w:r>
          </w:p>
          <w:p w:rsidR="00E80B6F" w:rsidRDefault="00E80B6F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  <w:p w:rsidR="007555C5" w:rsidRPr="007555C5" w:rsidRDefault="007555C5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  <w:p w:rsidR="00E80B6F" w:rsidRPr="007555C5" w:rsidRDefault="00E80B6F" w:rsidP="00B31A8F">
            <w:pPr>
              <w:rPr>
                <w:sz w:val="26"/>
                <w:szCs w:val="26"/>
                <w:lang w:val="lv-LV"/>
              </w:rPr>
            </w:pPr>
            <w:bookmarkStart w:id="0" w:name="_GoBack"/>
            <w:bookmarkEnd w:id="0"/>
            <w:r w:rsidRPr="007555C5">
              <w:rPr>
                <w:sz w:val="26"/>
                <w:szCs w:val="26"/>
                <w:lang w:val="lv-LV"/>
              </w:rPr>
              <w:t xml:space="preserve">Atklāta konkursa komisijas priekšsēdētājs                                                   </w:t>
            </w:r>
            <w:r w:rsidR="00962B6E">
              <w:rPr>
                <w:sz w:val="26"/>
                <w:szCs w:val="26"/>
                <w:lang w:val="lv-LV"/>
              </w:rPr>
              <w:t xml:space="preserve">     L.Kudiņš</w:t>
            </w:r>
          </w:p>
          <w:p w:rsidR="00E80B6F" w:rsidRDefault="00E80B6F" w:rsidP="00B31A8F">
            <w:pPr>
              <w:rPr>
                <w:sz w:val="26"/>
                <w:szCs w:val="26"/>
                <w:lang w:val="lv-LV"/>
              </w:rPr>
            </w:pPr>
          </w:p>
          <w:p w:rsidR="00632FD0" w:rsidRPr="007555C5" w:rsidRDefault="00632FD0" w:rsidP="00B31A8F">
            <w:pPr>
              <w:rPr>
                <w:sz w:val="26"/>
                <w:szCs w:val="26"/>
                <w:lang w:val="lv-LV"/>
              </w:rPr>
            </w:pPr>
          </w:p>
          <w:p w:rsidR="00E80B6F" w:rsidRPr="007555C5" w:rsidRDefault="00E80B6F" w:rsidP="0041071D">
            <w:pPr>
              <w:rPr>
                <w:sz w:val="22"/>
                <w:szCs w:val="22"/>
                <w:lang w:val="lv-LV"/>
              </w:rPr>
            </w:pPr>
            <w:r w:rsidRPr="007555C5">
              <w:rPr>
                <w:sz w:val="22"/>
                <w:szCs w:val="22"/>
                <w:lang w:val="lv-LV"/>
              </w:rPr>
              <w:t>P</w:t>
            </w:r>
            <w:r w:rsidR="0041071D">
              <w:rPr>
                <w:sz w:val="22"/>
                <w:szCs w:val="22"/>
                <w:lang w:val="lv-LV"/>
              </w:rPr>
              <w:t>ētersone</w:t>
            </w:r>
            <w:r w:rsidRPr="007555C5">
              <w:rPr>
                <w:sz w:val="22"/>
                <w:szCs w:val="22"/>
                <w:lang w:val="lv-LV"/>
              </w:rPr>
              <w:t xml:space="preserve"> 6703</w:t>
            </w:r>
            <w:r w:rsidR="0041071D">
              <w:rPr>
                <w:sz w:val="22"/>
                <w:szCs w:val="22"/>
                <w:lang w:val="lv-LV"/>
              </w:rPr>
              <w:t>7854</w:t>
            </w:r>
          </w:p>
        </w:tc>
        <w:tc>
          <w:tcPr>
            <w:tcW w:w="1394" w:type="dxa"/>
          </w:tcPr>
          <w:p w:rsidR="00E80B6F" w:rsidRPr="007555C5" w:rsidRDefault="00E80B6F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  <w:p w:rsidR="00E80B6F" w:rsidRPr="007555C5" w:rsidRDefault="00E80B6F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1A2D20" w:rsidRPr="00942D86" w:rsidTr="00B31A8F">
        <w:trPr>
          <w:trHeight w:val="567"/>
        </w:trPr>
        <w:tc>
          <w:tcPr>
            <w:tcW w:w="9288" w:type="dxa"/>
          </w:tcPr>
          <w:p w:rsidR="001A2D20" w:rsidRDefault="001A2D20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394" w:type="dxa"/>
          </w:tcPr>
          <w:p w:rsidR="001A2D20" w:rsidRPr="00942D86" w:rsidRDefault="001A2D20" w:rsidP="00B31A8F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:rsidR="002E27FB" w:rsidRDefault="002E27FB"/>
    <w:sectPr w:rsidR="002E27FB" w:rsidSect="00AF1E2D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7780"/>
    <w:multiLevelType w:val="hybridMultilevel"/>
    <w:tmpl w:val="5DF61256"/>
    <w:lvl w:ilvl="0" w:tplc="EFA2B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D"/>
    <w:rsid w:val="00085452"/>
    <w:rsid w:val="000C5453"/>
    <w:rsid w:val="00116FD3"/>
    <w:rsid w:val="00123E6C"/>
    <w:rsid w:val="00163DB9"/>
    <w:rsid w:val="00165931"/>
    <w:rsid w:val="001A2D20"/>
    <w:rsid w:val="001A4D6D"/>
    <w:rsid w:val="00265277"/>
    <w:rsid w:val="002E27FB"/>
    <w:rsid w:val="003070CF"/>
    <w:rsid w:val="003D4761"/>
    <w:rsid w:val="004044F2"/>
    <w:rsid w:val="0041071D"/>
    <w:rsid w:val="004435D4"/>
    <w:rsid w:val="004673DA"/>
    <w:rsid w:val="004D4899"/>
    <w:rsid w:val="004E1204"/>
    <w:rsid w:val="005550CF"/>
    <w:rsid w:val="005F15ED"/>
    <w:rsid w:val="00632FD0"/>
    <w:rsid w:val="00651881"/>
    <w:rsid w:val="00685EC8"/>
    <w:rsid w:val="006A232A"/>
    <w:rsid w:val="006A2885"/>
    <w:rsid w:val="006F4DE9"/>
    <w:rsid w:val="00714C9A"/>
    <w:rsid w:val="007555C5"/>
    <w:rsid w:val="007647A5"/>
    <w:rsid w:val="007A4D97"/>
    <w:rsid w:val="007D40B2"/>
    <w:rsid w:val="007E71F5"/>
    <w:rsid w:val="008A10FD"/>
    <w:rsid w:val="008B3064"/>
    <w:rsid w:val="00907060"/>
    <w:rsid w:val="00962B6E"/>
    <w:rsid w:val="0096739A"/>
    <w:rsid w:val="009B7CD3"/>
    <w:rsid w:val="00A736A0"/>
    <w:rsid w:val="00A903AA"/>
    <w:rsid w:val="00AF1E2D"/>
    <w:rsid w:val="00B52EDE"/>
    <w:rsid w:val="00B54CC5"/>
    <w:rsid w:val="00B63426"/>
    <w:rsid w:val="00B93995"/>
    <w:rsid w:val="00BF7FB8"/>
    <w:rsid w:val="00C364A8"/>
    <w:rsid w:val="00C705A8"/>
    <w:rsid w:val="00D26842"/>
    <w:rsid w:val="00D869E8"/>
    <w:rsid w:val="00D931C1"/>
    <w:rsid w:val="00DD1C1F"/>
    <w:rsid w:val="00DD6125"/>
    <w:rsid w:val="00DF5DE4"/>
    <w:rsid w:val="00E532FF"/>
    <w:rsid w:val="00E7374F"/>
    <w:rsid w:val="00E80B6F"/>
    <w:rsid w:val="00E90F40"/>
    <w:rsid w:val="00E97C67"/>
    <w:rsid w:val="00F77182"/>
    <w:rsid w:val="00F97AB7"/>
    <w:rsid w:val="00F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F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rsid w:val="00AF1E2D"/>
    <w:pPr>
      <w:jc w:val="center"/>
    </w:pPr>
    <w:rPr>
      <w:sz w:val="40"/>
      <w:szCs w:val="40"/>
      <w:lang w:val="lv-LV"/>
    </w:rPr>
  </w:style>
  <w:style w:type="character" w:styleId="Hipersaite">
    <w:name w:val="Hyperlink"/>
    <w:rsid w:val="00AF1E2D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1E2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1E2D"/>
    <w:rPr>
      <w:rFonts w:ascii="Tahoma" w:eastAsia="Times New Roman" w:hAnsi="Tahoma" w:cs="Tahoma"/>
      <w:sz w:val="16"/>
      <w:szCs w:val="16"/>
      <w:lang w:val="en-US"/>
    </w:rPr>
  </w:style>
  <w:style w:type="paragraph" w:styleId="Sarakstarindkopa">
    <w:name w:val="List Paragraph"/>
    <w:basedOn w:val="Parasts"/>
    <w:uiPriority w:val="34"/>
    <w:qFormat/>
    <w:rsid w:val="00E80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F1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rsid w:val="00AF1E2D"/>
    <w:pPr>
      <w:jc w:val="center"/>
    </w:pPr>
    <w:rPr>
      <w:sz w:val="40"/>
      <w:szCs w:val="40"/>
      <w:lang w:val="lv-LV"/>
    </w:rPr>
  </w:style>
  <w:style w:type="character" w:styleId="Hipersaite">
    <w:name w:val="Hyperlink"/>
    <w:rsid w:val="00AF1E2D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F1E2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1E2D"/>
    <w:rPr>
      <w:rFonts w:ascii="Tahoma" w:eastAsia="Times New Roman" w:hAnsi="Tahoma" w:cs="Tahoma"/>
      <w:sz w:val="16"/>
      <w:szCs w:val="16"/>
      <w:lang w:val="en-US"/>
    </w:rPr>
  </w:style>
  <w:style w:type="paragraph" w:styleId="Sarakstarindkopa">
    <w:name w:val="List Paragraph"/>
    <w:basedOn w:val="Parasts"/>
    <w:uiPriority w:val="34"/>
    <w:qFormat/>
    <w:rsid w:val="00E80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p@riga.lv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D:\DOCUME~1\JURITA~1.GUR\LOCALS~1\Temp\RDLIS\Rigas_gerboni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Ruta Pētersone</cp:lastModifiedBy>
  <cp:revision>20</cp:revision>
  <cp:lastPrinted>2014-09-25T07:12:00Z</cp:lastPrinted>
  <dcterms:created xsi:type="dcterms:W3CDTF">2014-09-24T14:10:00Z</dcterms:created>
  <dcterms:modified xsi:type="dcterms:W3CDTF">2017-09-06T12:24:00Z</dcterms:modified>
</cp:coreProperties>
</file>