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B0" w:rsidRPr="005679B9" w:rsidRDefault="00B17075" w:rsidP="001149B0">
      <w:pPr>
        <w:jc w:val="right"/>
        <w:rPr>
          <w:b/>
          <w:sz w:val="22"/>
          <w:szCs w:val="22"/>
        </w:rPr>
      </w:pPr>
      <w:r w:rsidRPr="005679B9">
        <w:rPr>
          <w:b/>
          <w:sz w:val="22"/>
          <w:szCs w:val="22"/>
        </w:rPr>
        <w:t>1.p</w:t>
      </w:r>
      <w:r w:rsidR="001149B0" w:rsidRPr="005679B9">
        <w:rPr>
          <w:b/>
          <w:sz w:val="22"/>
          <w:szCs w:val="22"/>
        </w:rPr>
        <w:t>ielikums</w:t>
      </w:r>
    </w:p>
    <w:p w:rsidR="001149B0" w:rsidRPr="005679B9" w:rsidRDefault="001149B0" w:rsidP="001149B0">
      <w:pPr>
        <w:jc w:val="right"/>
        <w:rPr>
          <w:sz w:val="22"/>
          <w:szCs w:val="22"/>
        </w:rPr>
      </w:pPr>
      <w:r w:rsidRPr="005679B9">
        <w:rPr>
          <w:sz w:val="22"/>
          <w:szCs w:val="22"/>
        </w:rPr>
        <w:t xml:space="preserve"> 2019.gada __._______ līgumam</w:t>
      </w:r>
    </w:p>
    <w:p w:rsidR="001149B0" w:rsidRPr="005679B9" w:rsidRDefault="001149B0" w:rsidP="001149B0">
      <w:pPr>
        <w:jc w:val="right"/>
        <w:rPr>
          <w:sz w:val="22"/>
          <w:szCs w:val="22"/>
        </w:rPr>
      </w:pPr>
      <w:r w:rsidRPr="005679B9">
        <w:rPr>
          <w:sz w:val="22"/>
          <w:szCs w:val="22"/>
        </w:rPr>
        <w:t>Nr.RPP-2019-__-</w:t>
      </w:r>
      <w:proofErr w:type="spellStart"/>
      <w:r w:rsidRPr="005679B9">
        <w:rPr>
          <w:sz w:val="22"/>
          <w:szCs w:val="22"/>
        </w:rPr>
        <w:t>lī</w:t>
      </w:r>
      <w:proofErr w:type="spellEnd"/>
    </w:p>
    <w:p w:rsidR="001149B0" w:rsidRPr="005679B9" w:rsidRDefault="001149B0" w:rsidP="001149B0">
      <w:pPr>
        <w:jc w:val="right"/>
        <w:rPr>
          <w:sz w:val="22"/>
          <w:szCs w:val="22"/>
        </w:rPr>
      </w:pPr>
      <w:r w:rsidRPr="005679B9">
        <w:rPr>
          <w:sz w:val="22"/>
          <w:szCs w:val="22"/>
        </w:rPr>
        <w:t xml:space="preserve">„Par angļu valodas </w:t>
      </w:r>
      <w:r w:rsidR="00A55408" w:rsidRPr="005679B9">
        <w:rPr>
          <w:sz w:val="22"/>
          <w:szCs w:val="22"/>
        </w:rPr>
        <w:t>ap</w:t>
      </w:r>
      <w:r w:rsidRPr="005679B9">
        <w:rPr>
          <w:sz w:val="22"/>
          <w:szCs w:val="22"/>
        </w:rPr>
        <w:t xml:space="preserve">mācībām un </w:t>
      </w:r>
    </w:p>
    <w:p w:rsidR="001149B0" w:rsidRPr="005679B9" w:rsidRDefault="001149B0" w:rsidP="001149B0">
      <w:pPr>
        <w:jc w:val="right"/>
        <w:rPr>
          <w:sz w:val="22"/>
          <w:szCs w:val="22"/>
        </w:rPr>
      </w:pPr>
      <w:r w:rsidRPr="005679B9">
        <w:rPr>
          <w:sz w:val="22"/>
          <w:szCs w:val="22"/>
        </w:rPr>
        <w:t>rakstiskās tulkošanas pakalpojumu sniegšanu”</w:t>
      </w:r>
    </w:p>
    <w:p w:rsidR="001149B0" w:rsidRDefault="001149B0" w:rsidP="001149B0">
      <w:pPr>
        <w:rPr>
          <w:b/>
          <w:sz w:val="26"/>
          <w:szCs w:val="26"/>
        </w:rPr>
      </w:pPr>
    </w:p>
    <w:p w:rsidR="005679B9" w:rsidRDefault="005679B9" w:rsidP="001149B0">
      <w:pPr>
        <w:rPr>
          <w:b/>
          <w:sz w:val="26"/>
          <w:szCs w:val="26"/>
        </w:rPr>
      </w:pPr>
    </w:p>
    <w:p w:rsidR="00144A7C" w:rsidRPr="005679B9" w:rsidRDefault="00144A7C" w:rsidP="002A5C2C">
      <w:pPr>
        <w:jc w:val="center"/>
        <w:rPr>
          <w:b/>
          <w:sz w:val="26"/>
          <w:szCs w:val="26"/>
        </w:rPr>
      </w:pPr>
      <w:r w:rsidRPr="005679B9">
        <w:rPr>
          <w:b/>
          <w:sz w:val="26"/>
          <w:szCs w:val="26"/>
        </w:rPr>
        <w:t>Tehniskā specifikācija</w:t>
      </w:r>
      <w:r w:rsidR="00E00704" w:rsidRPr="005679B9">
        <w:rPr>
          <w:b/>
          <w:sz w:val="26"/>
          <w:szCs w:val="26"/>
        </w:rPr>
        <w:t xml:space="preserve"> </w:t>
      </w:r>
      <w:r w:rsidRPr="005679B9">
        <w:rPr>
          <w:b/>
          <w:sz w:val="26"/>
          <w:szCs w:val="26"/>
        </w:rPr>
        <w:t>-</w:t>
      </w:r>
      <w:r w:rsidR="00E00704" w:rsidRPr="005679B9">
        <w:rPr>
          <w:b/>
          <w:sz w:val="26"/>
          <w:szCs w:val="26"/>
        </w:rPr>
        <w:t xml:space="preserve"> </w:t>
      </w:r>
      <w:r w:rsidRPr="005679B9">
        <w:rPr>
          <w:b/>
          <w:sz w:val="26"/>
          <w:szCs w:val="26"/>
        </w:rPr>
        <w:t>Finanšu piedāvājums</w:t>
      </w:r>
    </w:p>
    <w:p w:rsidR="001149B0" w:rsidRPr="005679B9" w:rsidRDefault="001149B0" w:rsidP="002A5C2C">
      <w:pPr>
        <w:jc w:val="center"/>
        <w:rPr>
          <w:sz w:val="26"/>
          <w:szCs w:val="26"/>
        </w:rPr>
      </w:pPr>
      <w:r w:rsidRPr="005679B9">
        <w:rPr>
          <w:sz w:val="26"/>
          <w:szCs w:val="26"/>
        </w:rPr>
        <w:t>“Angļu valodas apmācības un rakstiskās tulkošanas pakalpojumu sniegšana 2019”</w:t>
      </w:r>
    </w:p>
    <w:p w:rsidR="005679B9" w:rsidRPr="005679B9" w:rsidRDefault="005679B9" w:rsidP="002A1844">
      <w:pPr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814"/>
        <w:gridCol w:w="3967"/>
        <w:gridCol w:w="3682"/>
      </w:tblGrid>
      <w:tr w:rsidR="00144A7C" w:rsidRPr="005679B9" w:rsidTr="0016358E"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rPr>
                <w:sz w:val="26"/>
                <w:szCs w:val="26"/>
              </w:rPr>
            </w:pPr>
            <w:r w:rsidRPr="005679B9">
              <w:rPr>
                <w:b/>
                <w:bCs/>
                <w:color w:val="000000"/>
                <w:sz w:val="26"/>
                <w:szCs w:val="26"/>
              </w:rPr>
              <w:t xml:space="preserve">Mērķis: </w:t>
            </w:r>
          </w:p>
          <w:p w:rsidR="00144A7C" w:rsidRPr="005679B9" w:rsidRDefault="00144A7C" w:rsidP="001F216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iCs/>
                <w:sz w:val="26"/>
                <w:szCs w:val="26"/>
              </w:rPr>
              <w:t>Rīgas pašvaldības policijas darbinieku nodrošināšana ar intensīviem angļu valodas apmācību pakalpojumiem, kā arī reprezentācijas materiālu tekstu izstrādāšana angļu valodā un</w:t>
            </w:r>
            <w:r w:rsidR="008D18E9">
              <w:rPr>
                <w:rFonts w:eastAsia="Calibri"/>
                <w:iCs/>
                <w:sz w:val="26"/>
                <w:szCs w:val="26"/>
              </w:rPr>
              <w:t>,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 nepieciešamības gadījumā</w:t>
            </w:r>
            <w:r w:rsidR="008D18E9">
              <w:rPr>
                <w:rFonts w:eastAsia="Calibri"/>
                <w:iCs/>
                <w:sz w:val="26"/>
                <w:szCs w:val="26"/>
              </w:rPr>
              <w:t>,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 nodrošināt Rīgas pašvaldības policijas dokumentu tulkošanu no latviešu valodas uz angļu valodu, kā arī  dokumentu tulkošanu no angļu valodas uz latviešu valodu.</w:t>
            </w:r>
            <w:r w:rsidRPr="005679B9">
              <w:rPr>
                <w:rFonts w:ascii="Calibri" w:eastAsia="Calibri" w:hAnsi="Calibri" w:cs="font415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44A7C" w:rsidRPr="005679B9" w:rsidTr="0016358E"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rPr>
                <w:sz w:val="26"/>
                <w:szCs w:val="26"/>
              </w:rPr>
            </w:pPr>
            <w:r w:rsidRPr="005679B9">
              <w:rPr>
                <w:b/>
                <w:bCs/>
                <w:color w:val="000000"/>
                <w:sz w:val="26"/>
                <w:szCs w:val="26"/>
              </w:rPr>
              <w:t xml:space="preserve">Mērķa grupa: </w:t>
            </w:r>
          </w:p>
          <w:p w:rsidR="00144A7C" w:rsidRPr="005679B9" w:rsidRDefault="00144A7C" w:rsidP="001F216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18E9" w:rsidRDefault="00144A7C" w:rsidP="001F2163">
            <w:pPr>
              <w:jc w:val="both"/>
              <w:rPr>
                <w:rFonts w:eastAsia="Calibri"/>
                <w:iCs/>
                <w:sz w:val="26"/>
                <w:szCs w:val="26"/>
                <w:lang w:eastAsia="ru-RU"/>
              </w:rPr>
            </w:pPr>
            <w:r w:rsidRPr="005679B9">
              <w:rPr>
                <w:rFonts w:eastAsia="Calibri"/>
                <w:iCs/>
                <w:sz w:val="26"/>
                <w:szCs w:val="26"/>
              </w:rPr>
              <w:t xml:space="preserve">Rīgas pašvaldības policijas </w:t>
            </w:r>
            <w:r w:rsidRPr="005679B9">
              <w:rPr>
                <w:rFonts w:eastAsia="Calibri"/>
                <w:iCs/>
                <w:sz w:val="26"/>
                <w:szCs w:val="26"/>
                <w:lang w:eastAsia="ru-RU"/>
              </w:rPr>
              <w:t>darbinieki, kuriem</w:t>
            </w:r>
            <w:r w:rsidR="008D18E9">
              <w:rPr>
                <w:rFonts w:eastAsia="Calibri"/>
                <w:iCs/>
                <w:sz w:val="26"/>
                <w:szCs w:val="26"/>
                <w:lang w:eastAsia="ru-RU"/>
              </w:rPr>
              <w:t>:</w:t>
            </w:r>
          </w:p>
          <w:p w:rsidR="008D18E9" w:rsidRDefault="008D18E9" w:rsidP="001F2163">
            <w:pPr>
              <w:jc w:val="both"/>
              <w:rPr>
                <w:rFonts w:eastAsia="Calibri"/>
                <w:iCs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>-</w:t>
            </w:r>
            <w:r w:rsidR="00144A7C" w:rsidRPr="005679B9">
              <w:rPr>
                <w:rFonts w:eastAsia="Calibri"/>
                <w:iCs/>
                <w:sz w:val="26"/>
                <w:szCs w:val="26"/>
                <w:lang w:eastAsia="ru-RU"/>
              </w:rPr>
              <w:t xml:space="preserve"> darba pienākumu pildīšanas laikā ir nepieciešamība kontaktēties angļu valodā ar ārvalstniekiem un sadarbības partneriem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>;</w:t>
            </w:r>
          </w:p>
          <w:p w:rsidR="008D18E9" w:rsidRPr="008D18E9" w:rsidRDefault="008D18E9" w:rsidP="001F2163">
            <w:pPr>
              <w:jc w:val="both"/>
              <w:rPr>
                <w:rFonts w:eastAsia="Calibri"/>
                <w:iCs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darba pienākumu pildīšanas laikā ir nepieciešams sagatavot reprezentācijas materiālus angļu </w:t>
            </w:r>
            <w:r w:rsidRPr="008D18E9">
              <w:rPr>
                <w:rFonts w:eastAsia="Calibri"/>
                <w:iCs/>
                <w:sz w:val="26"/>
                <w:szCs w:val="26"/>
                <w:lang w:eastAsia="ru-RU"/>
              </w:rPr>
              <w:t>valodā;</w:t>
            </w:r>
          </w:p>
          <w:p w:rsidR="00144A7C" w:rsidRPr="008D18E9" w:rsidRDefault="008D18E9" w:rsidP="001F2163">
            <w:pPr>
              <w:jc w:val="both"/>
              <w:rPr>
                <w:rFonts w:eastAsia="Calibri"/>
                <w:iCs/>
                <w:sz w:val="26"/>
                <w:szCs w:val="26"/>
                <w:lang w:eastAsia="ru-RU"/>
              </w:rPr>
            </w:pP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- 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darba pienākumu pildīšanas laikā </w:t>
            </w:r>
            <w:r w:rsidRPr="008D18E9">
              <w:rPr>
                <w:rFonts w:eastAsia="Calibri"/>
                <w:iCs/>
                <w:sz w:val="26"/>
                <w:szCs w:val="26"/>
                <w:lang w:eastAsia="ru-RU"/>
              </w:rPr>
              <w:t xml:space="preserve">ir nepieciešamība </w:t>
            </w:r>
            <w:r w:rsidRPr="008D18E9">
              <w:rPr>
                <w:rFonts w:eastAsia="Calibri"/>
                <w:iCs/>
                <w:sz w:val="26"/>
                <w:szCs w:val="26"/>
              </w:rPr>
              <w:t>tulkot</w:t>
            </w:r>
            <w:r>
              <w:rPr>
                <w:rFonts w:eastAsia="Calibri"/>
                <w:iCs/>
                <w:sz w:val="26"/>
                <w:szCs w:val="26"/>
              </w:rPr>
              <w:t xml:space="preserve"> </w:t>
            </w:r>
            <w:r>
              <w:rPr>
                <w:rFonts w:eastAsia="Calibri"/>
                <w:iCs/>
                <w:sz w:val="26"/>
                <w:szCs w:val="26"/>
                <w:lang w:eastAsia="ru-RU"/>
              </w:rPr>
              <w:t xml:space="preserve">dokumentus </w:t>
            </w:r>
            <w:r>
              <w:rPr>
                <w:rFonts w:eastAsia="Calibri"/>
                <w:iCs/>
                <w:sz w:val="26"/>
                <w:szCs w:val="26"/>
              </w:rPr>
              <w:t>no latviešu valodas uz angļu valodu, kā arī no angļu valodas uz latviešu valodu.</w:t>
            </w:r>
          </w:p>
        </w:tc>
      </w:tr>
      <w:tr w:rsidR="00144A7C" w:rsidRPr="005679B9" w:rsidTr="0016358E"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rPr>
                <w:sz w:val="26"/>
                <w:szCs w:val="26"/>
              </w:rPr>
            </w:pPr>
            <w:r w:rsidRPr="005679B9">
              <w:rPr>
                <w:b/>
                <w:bCs/>
                <w:color w:val="000000"/>
                <w:sz w:val="26"/>
                <w:szCs w:val="26"/>
              </w:rPr>
              <w:t xml:space="preserve">Iegūstamās kompetences: </w:t>
            </w:r>
          </w:p>
          <w:p w:rsidR="00144A7C" w:rsidRPr="005679B9" w:rsidRDefault="00144A7C" w:rsidP="001F216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iCs/>
                <w:sz w:val="26"/>
                <w:szCs w:val="26"/>
              </w:rPr>
              <w:t>Darbiniek</w:t>
            </w:r>
            <w:r w:rsidR="00F73EED">
              <w:rPr>
                <w:rFonts w:eastAsia="Calibri"/>
                <w:iCs/>
                <w:sz w:val="26"/>
                <w:szCs w:val="26"/>
              </w:rPr>
              <w:t>u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 ar dažādiem angļu valodas zināšanu līmeņiem </w:t>
            </w:r>
            <w:r w:rsidR="00F73EED">
              <w:rPr>
                <w:rFonts w:eastAsia="Calibri"/>
                <w:iCs/>
                <w:sz w:val="26"/>
                <w:szCs w:val="26"/>
              </w:rPr>
              <w:t>spēja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 paaugstināt un attīstīt savas angļu valodas zināšanas, ietverot komunikatīvās kompetences</w:t>
            </w:r>
            <w:r w:rsidR="00F73EED">
              <w:rPr>
                <w:rFonts w:eastAsia="Calibri"/>
                <w:iCs/>
                <w:sz w:val="26"/>
                <w:szCs w:val="26"/>
              </w:rPr>
              <w:t xml:space="preserve">: </w:t>
            </w:r>
            <w:r w:rsidRPr="005679B9">
              <w:rPr>
                <w:rFonts w:eastAsia="Calibri"/>
                <w:iCs/>
                <w:sz w:val="26"/>
                <w:szCs w:val="26"/>
              </w:rPr>
              <w:t>runāšan</w:t>
            </w:r>
            <w:r w:rsidR="00F73EED">
              <w:rPr>
                <w:rFonts w:eastAsia="Calibri"/>
                <w:iCs/>
                <w:sz w:val="26"/>
                <w:szCs w:val="26"/>
              </w:rPr>
              <w:t>a</w:t>
            </w:r>
            <w:r w:rsidRPr="005679B9">
              <w:rPr>
                <w:rFonts w:eastAsia="Calibri"/>
                <w:iCs/>
                <w:sz w:val="26"/>
                <w:szCs w:val="26"/>
              </w:rPr>
              <w:t>, klausīšan</w:t>
            </w:r>
            <w:r w:rsidR="00F73EED">
              <w:rPr>
                <w:rFonts w:eastAsia="Calibri"/>
                <w:iCs/>
                <w:sz w:val="26"/>
                <w:szCs w:val="26"/>
              </w:rPr>
              <w:t>ās</w:t>
            </w:r>
            <w:r w:rsidRPr="005679B9">
              <w:rPr>
                <w:rFonts w:eastAsia="Calibri"/>
                <w:iCs/>
                <w:sz w:val="26"/>
                <w:szCs w:val="26"/>
              </w:rPr>
              <w:t>, lasīšan</w:t>
            </w:r>
            <w:r w:rsidR="00F73EED">
              <w:rPr>
                <w:rFonts w:eastAsia="Calibri"/>
                <w:iCs/>
                <w:sz w:val="26"/>
                <w:szCs w:val="26"/>
              </w:rPr>
              <w:t>a</w:t>
            </w:r>
            <w:r w:rsidRPr="005679B9">
              <w:rPr>
                <w:rFonts w:eastAsia="Calibri"/>
                <w:iCs/>
                <w:sz w:val="26"/>
                <w:szCs w:val="26"/>
              </w:rPr>
              <w:t>, rakstīšan</w:t>
            </w:r>
            <w:r w:rsidR="00F73EED">
              <w:rPr>
                <w:rFonts w:eastAsia="Calibri"/>
                <w:iCs/>
                <w:sz w:val="26"/>
                <w:szCs w:val="26"/>
              </w:rPr>
              <w:t>a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.  </w:t>
            </w:r>
          </w:p>
        </w:tc>
      </w:tr>
      <w:tr w:rsidR="00144A7C" w:rsidRPr="005679B9" w:rsidTr="0016358E"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rPr>
                <w:sz w:val="26"/>
                <w:szCs w:val="26"/>
              </w:rPr>
            </w:pPr>
            <w:r w:rsidRPr="005679B9">
              <w:rPr>
                <w:b/>
                <w:bCs/>
                <w:color w:val="000000"/>
                <w:sz w:val="26"/>
                <w:szCs w:val="26"/>
              </w:rPr>
              <w:t xml:space="preserve">Saturs: </w:t>
            </w:r>
          </w:p>
          <w:p w:rsidR="00144A7C" w:rsidRPr="005679B9" w:rsidRDefault="00144A7C" w:rsidP="001F216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b/>
                <w:bCs/>
                <w:iCs/>
                <w:sz w:val="26"/>
                <w:szCs w:val="26"/>
              </w:rPr>
              <w:t>Angļu valodas apmācība:</w:t>
            </w:r>
          </w:p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bCs/>
                <w:iCs/>
                <w:sz w:val="26"/>
                <w:szCs w:val="26"/>
              </w:rPr>
              <w:t>Tiek apmācīti darbinieki, ņemot vērā viņu angļu valodas zināšanu līmeni.</w:t>
            </w:r>
          </w:p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bCs/>
                <w:iCs/>
                <w:sz w:val="26"/>
                <w:szCs w:val="26"/>
              </w:rPr>
              <w:t xml:space="preserve">Apmācības tiks veiktas gan individuāli, gan grupās (grupā ne vairāk kā 5 </w:t>
            </w:r>
            <w:r w:rsidR="008B4F52" w:rsidRPr="005679B9">
              <w:rPr>
                <w:rFonts w:eastAsia="Calibri"/>
                <w:bCs/>
                <w:iCs/>
                <w:sz w:val="26"/>
                <w:szCs w:val="26"/>
              </w:rPr>
              <w:t>darbinieki</w:t>
            </w:r>
            <w:r w:rsidRPr="005679B9">
              <w:rPr>
                <w:rFonts w:eastAsia="Calibri"/>
                <w:bCs/>
                <w:iCs/>
                <w:sz w:val="26"/>
                <w:szCs w:val="26"/>
              </w:rPr>
              <w:t>).</w:t>
            </w:r>
          </w:p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b/>
                <w:iCs/>
                <w:sz w:val="26"/>
                <w:szCs w:val="26"/>
              </w:rPr>
              <w:t>Reprezentācijas materiālu tekstu izstrādāšana: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 tiek sagatavota angļu valodā, balstoties uz iepriekš sagatavotajiem materiāliem latviešu valodā.</w:t>
            </w:r>
          </w:p>
          <w:p w:rsidR="00144A7C" w:rsidRPr="005679B9" w:rsidRDefault="00144A7C" w:rsidP="001F2163">
            <w:pPr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b/>
                <w:iCs/>
                <w:sz w:val="26"/>
                <w:szCs w:val="26"/>
              </w:rPr>
              <w:t>Dokument</w:t>
            </w:r>
            <w:r w:rsidR="00F73EED">
              <w:rPr>
                <w:rFonts w:eastAsia="Calibri"/>
                <w:b/>
                <w:iCs/>
                <w:sz w:val="26"/>
                <w:szCs w:val="26"/>
              </w:rPr>
              <w:t>u</w:t>
            </w:r>
            <w:r w:rsidRPr="005679B9">
              <w:rPr>
                <w:rFonts w:eastAsia="Calibri"/>
                <w:b/>
                <w:iCs/>
                <w:sz w:val="26"/>
                <w:szCs w:val="26"/>
              </w:rPr>
              <w:t xml:space="preserve"> tulk</w:t>
            </w:r>
            <w:r w:rsidR="00F73EED">
              <w:rPr>
                <w:rFonts w:eastAsia="Calibri"/>
                <w:b/>
                <w:iCs/>
                <w:sz w:val="26"/>
                <w:szCs w:val="26"/>
              </w:rPr>
              <w:t>ošana</w:t>
            </w:r>
            <w:r w:rsidRPr="005679B9">
              <w:rPr>
                <w:rFonts w:eastAsia="Calibri"/>
                <w:b/>
                <w:iCs/>
                <w:sz w:val="26"/>
                <w:szCs w:val="26"/>
              </w:rPr>
              <w:t>: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 no latviešu valodas uz angļu valodu, kā arī no angļu valodas uz latviešu valodu</w:t>
            </w:r>
            <w:r w:rsidR="00C600CE" w:rsidRPr="005679B9">
              <w:rPr>
                <w:rFonts w:eastAsia="Calibri"/>
                <w:iCs/>
                <w:sz w:val="26"/>
                <w:szCs w:val="26"/>
              </w:rPr>
              <w:t>,</w:t>
            </w:r>
            <w:r w:rsidR="00C8100D" w:rsidRPr="005679B9">
              <w:rPr>
                <w:rFonts w:eastAsia="Calibri"/>
                <w:iCs/>
                <w:sz w:val="26"/>
                <w:szCs w:val="26"/>
              </w:rPr>
              <w:t xml:space="preserve"> nodrošinot </w:t>
            </w:r>
            <w:proofErr w:type="spellStart"/>
            <w:r w:rsidR="00C8100D" w:rsidRPr="005679B9">
              <w:rPr>
                <w:rFonts w:eastAsia="Calibri"/>
                <w:iCs/>
                <w:sz w:val="26"/>
                <w:szCs w:val="26"/>
              </w:rPr>
              <w:t>oriģinālteksta</w:t>
            </w:r>
            <w:proofErr w:type="spellEnd"/>
            <w:r w:rsidR="00C8100D" w:rsidRPr="005679B9">
              <w:rPr>
                <w:rFonts w:eastAsia="Calibri"/>
                <w:iCs/>
                <w:sz w:val="26"/>
                <w:szCs w:val="26"/>
              </w:rPr>
              <w:t xml:space="preserve"> satura pilnīgu atveidi, stilistisko atbilstību un gramatisko pareizību.</w:t>
            </w:r>
          </w:p>
        </w:tc>
      </w:tr>
      <w:tr w:rsidR="00144A7C" w:rsidRPr="005679B9" w:rsidTr="008B4F52">
        <w:trPr>
          <w:trHeight w:val="913"/>
        </w:trPr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5F7B8C" w:rsidP="001F2163">
            <w:pPr>
              <w:spacing w:after="200" w:line="276" w:lineRule="auto"/>
              <w:rPr>
                <w:sz w:val="26"/>
                <w:szCs w:val="26"/>
              </w:rPr>
            </w:pPr>
            <w:r w:rsidRPr="005679B9">
              <w:rPr>
                <w:rFonts w:eastAsia="Calibri"/>
                <w:sz w:val="26"/>
                <w:szCs w:val="26"/>
                <w:lang w:eastAsia="en-US"/>
              </w:rPr>
              <w:t>V</w:t>
            </w:r>
            <w:r w:rsidR="00144A7C" w:rsidRPr="005679B9">
              <w:rPr>
                <w:rFonts w:eastAsia="Calibri"/>
                <w:sz w:val="26"/>
                <w:szCs w:val="26"/>
                <w:lang w:eastAsia="en-US"/>
              </w:rPr>
              <w:t xml:space="preserve">ienas mācību nodarbības ilgums sastāda vienu stundu (60 minūtes), kas tiek īstenotas jebkurā </w:t>
            </w:r>
            <w:r w:rsidR="00F73EED">
              <w:rPr>
                <w:rFonts w:eastAsia="Calibri"/>
                <w:sz w:val="26"/>
                <w:szCs w:val="26"/>
                <w:lang w:eastAsia="en-US"/>
              </w:rPr>
              <w:t>P</w:t>
            </w:r>
            <w:r w:rsidR="00144A7C" w:rsidRPr="005679B9">
              <w:rPr>
                <w:rFonts w:eastAsia="Calibri"/>
                <w:sz w:val="26"/>
                <w:szCs w:val="26"/>
                <w:lang w:eastAsia="en-US"/>
              </w:rPr>
              <w:t>asūtītāja noteiktā</w:t>
            </w:r>
            <w:r w:rsidR="00F73EED">
              <w:rPr>
                <w:rFonts w:eastAsia="Calibri"/>
                <w:sz w:val="26"/>
                <w:szCs w:val="26"/>
                <w:lang w:eastAsia="en-US"/>
              </w:rPr>
              <w:t xml:space="preserve"> un iepriekš saskaņotā</w:t>
            </w:r>
            <w:r w:rsidR="00144A7C" w:rsidRPr="005679B9">
              <w:rPr>
                <w:rFonts w:eastAsia="Calibri"/>
                <w:sz w:val="26"/>
                <w:szCs w:val="26"/>
                <w:lang w:eastAsia="en-US"/>
              </w:rPr>
              <w:t xml:space="preserve"> dienā (izņemot svētku dienas)  laika posmā no pulksten 08.30 līdz pulksten 17.00.</w:t>
            </w:r>
          </w:p>
        </w:tc>
      </w:tr>
      <w:tr w:rsidR="00144A7C" w:rsidRPr="005679B9" w:rsidTr="001F2163"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spacing w:after="200" w:line="276" w:lineRule="auto"/>
              <w:rPr>
                <w:sz w:val="26"/>
                <w:szCs w:val="26"/>
              </w:rPr>
            </w:pPr>
            <w:r w:rsidRPr="005679B9">
              <w:rPr>
                <w:rFonts w:eastAsia="Calibri"/>
                <w:sz w:val="26"/>
                <w:szCs w:val="26"/>
                <w:lang w:eastAsia="en-US"/>
              </w:rPr>
              <w:t xml:space="preserve"> Mācību vietu/vietas nodrošina pasūtītājs. </w:t>
            </w:r>
          </w:p>
        </w:tc>
      </w:tr>
      <w:tr w:rsidR="0016358E" w:rsidRPr="005679B9" w:rsidTr="0016358E"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358E" w:rsidRPr="005679B9" w:rsidRDefault="0016358E" w:rsidP="001F216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b/>
                <w:sz w:val="26"/>
                <w:szCs w:val="26"/>
                <w:lang w:eastAsia="en-US"/>
              </w:rPr>
              <w:t>Apjoms: </w:t>
            </w:r>
            <w:r w:rsidRPr="005679B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7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679B9" w:rsidRDefault="0016358E" w:rsidP="001F2163">
            <w:pPr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  <w:r w:rsidRPr="005679B9">
              <w:rPr>
                <w:rFonts w:eastAsia="Calibri"/>
                <w:sz w:val="26"/>
                <w:szCs w:val="26"/>
                <w:lang w:eastAsia="en-US"/>
              </w:rPr>
              <w:t xml:space="preserve">Apmācību apjoms, biežums un laiks tiek atrunāts atsevišķi katru kalendāro nedēļu, ņemot vērā </w:t>
            </w:r>
            <w:r w:rsidR="00F73EED">
              <w:rPr>
                <w:rFonts w:eastAsia="Calibri"/>
                <w:sz w:val="26"/>
                <w:szCs w:val="26"/>
                <w:lang w:eastAsia="en-US"/>
              </w:rPr>
              <w:t>P</w:t>
            </w:r>
            <w:r w:rsidRPr="005679B9">
              <w:rPr>
                <w:rFonts w:eastAsia="Calibri"/>
                <w:sz w:val="26"/>
                <w:szCs w:val="26"/>
                <w:lang w:eastAsia="en-US"/>
              </w:rPr>
              <w:t xml:space="preserve">asūtītāja vēlmes un iespējas.  </w:t>
            </w:r>
            <w:r w:rsidRPr="005679B9">
              <w:rPr>
                <w:rFonts w:eastAsia="Calibri"/>
                <w:bCs/>
                <w:iCs/>
                <w:sz w:val="26"/>
                <w:szCs w:val="26"/>
              </w:rPr>
              <w:t xml:space="preserve">  </w:t>
            </w:r>
            <w:r w:rsidRPr="005679B9">
              <w:rPr>
                <w:rFonts w:eastAsia="Calibri"/>
                <w:iCs/>
                <w:sz w:val="26"/>
                <w:szCs w:val="26"/>
              </w:rPr>
              <w:t>Reprezentācijas materiālu tekstu izstrādāšana angļu valodā, kā arī d</w:t>
            </w:r>
            <w:r w:rsidRPr="005679B9">
              <w:rPr>
                <w:rFonts w:eastAsia="Calibri"/>
                <w:bCs/>
                <w:iCs/>
                <w:sz w:val="26"/>
                <w:szCs w:val="26"/>
              </w:rPr>
              <w:t xml:space="preserve">okumentu tulkošana notiek pēc </w:t>
            </w:r>
            <w:r w:rsidR="00F73EED">
              <w:rPr>
                <w:rFonts w:eastAsia="Calibri"/>
                <w:bCs/>
                <w:iCs/>
                <w:sz w:val="26"/>
                <w:szCs w:val="26"/>
              </w:rPr>
              <w:t>P</w:t>
            </w:r>
            <w:r w:rsidRPr="005679B9">
              <w:rPr>
                <w:rFonts w:eastAsia="Calibri"/>
                <w:bCs/>
                <w:iCs/>
                <w:sz w:val="26"/>
                <w:szCs w:val="26"/>
              </w:rPr>
              <w:t xml:space="preserve">asūtītāja atsevišķa pasūtījuma. </w:t>
            </w:r>
          </w:p>
          <w:p w:rsidR="005679B9" w:rsidRPr="005679B9" w:rsidRDefault="005679B9" w:rsidP="001F2163">
            <w:pPr>
              <w:jc w:val="both"/>
              <w:rPr>
                <w:rFonts w:eastAsia="Calibri"/>
                <w:bCs/>
                <w:iCs/>
                <w:sz w:val="26"/>
                <w:szCs w:val="26"/>
              </w:rPr>
            </w:pPr>
          </w:p>
        </w:tc>
      </w:tr>
      <w:tr w:rsidR="00144A7C" w:rsidRPr="005679B9" w:rsidTr="001F2163">
        <w:tc>
          <w:tcPr>
            <w:tcW w:w="94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52E5D" w:rsidRPr="005679B9" w:rsidRDefault="00144A7C" w:rsidP="00852E5D">
            <w:pPr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679B9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Pretendenta piedāvājums</w:t>
            </w:r>
          </w:p>
        </w:tc>
      </w:tr>
      <w:tr w:rsidR="00144A7C" w:rsidRPr="005679B9" w:rsidTr="001F2163">
        <w:tc>
          <w:tcPr>
            <w:tcW w:w="5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358E" w:rsidRPr="005679B9" w:rsidRDefault="00144A7C" w:rsidP="001F2163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679B9">
              <w:rPr>
                <w:rFonts w:eastAsia="Calibri"/>
                <w:sz w:val="26"/>
                <w:szCs w:val="26"/>
                <w:lang w:eastAsia="en-US"/>
              </w:rPr>
              <w:t>Cena angļu valodas apmācībai</w:t>
            </w:r>
            <w:r w:rsidR="008B4F52" w:rsidRPr="005679B9">
              <w:rPr>
                <w:rFonts w:eastAsia="Calibri"/>
                <w:sz w:val="26"/>
                <w:szCs w:val="26"/>
                <w:lang w:eastAsia="en-US"/>
              </w:rPr>
              <w:t xml:space="preserve"> no viena līdz pieciem darbiniekiem</w:t>
            </w:r>
            <w:r w:rsidR="0016358E" w:rsidRPr="005679B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679B9">
              <w:rPr>
                <w:rFonts w:eastAsia="Calibri"/>
                <w:sz w:val="26"/>
                <w:szCs w:val="26"/>
                <w:lang w:eastAsia="en-US"/>
              </w:rPr>
              <w:t xml:space="preserve">(viena stunda (60 minūtes)) EUR bez PVN 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0E76D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5679B9">
              <w:rPr>
                <w:rFonts w:eastAsia="Calibri"/>
                <w:b/>
                <w:sz w:val="26"/>
                <w:szCs w:val="26"/>
                <w:lang w:eastAsia="en-US"/>
              </w:rPr>
              <w:t>EUR</w:t>
            </w:r>
          </w:p>
        </w:tc>
      </w:tr>
      <w:tr w:rsidR="00144A7C" w:rsidRPr="005679B9" w:rsidTr="0016358E">
        <w:trPr>
          <w:trHeight w:val="978"/>
        </w:trPr>
        <w:tc>
          <w:tcPr>
            <w:tcW w:w="5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spacing w:after="200" w:line="276" w:lineRule="auto"/>
              <w:jc w:val="both"/>
              <w:rPr>
                <w:sz w:val="26"/>
                <w:szCs w:val="26"/>
              </w:rPr>
            </w:pPr>
            <w:r w:rsidRPr="005679B9">
              <w:rPr>
                <w:rFonts w:eastAsia="Calibri"/>
                <w:sz w:val="26"/>
                <w:szCs w:val="26"/>
                <w:lang w:eastAsia="en-US"/>
              </w:rPr>
              <w:t xml:space="preserve">Cena par </w:t>
            </w:r>
            <w:r w:rsidRPr="005679B9">
              <w:rPr>
                <w:rFonts w:eastAsia="Calibri"/>
                <w:iCs/>
                <w:sz w:val="26"/>
                <w:szCs w:val="26"/>
              </w:rPr>
              <w:t>d</w:t>
            </w:r>
            <w:r w:rsidRPr="005679B9">
              <w:rPr>
                <w:rFonts w:eastAsia="Calibri"/>
                <w:bCs/>
                <w:iCs/>
                <w:sz w:val="26"/>
                <w:szCs w:val="26"/>
              </w:rPr>
              <w:t xml:space="preserve">okumentu tulkošanu </w:t>
            </w:r>
            <w:r w:rsidRPr="005679B9">
              <w:rPr>
                <w:rFonts w:eastAsia="Calibri"/>
                <w:iCs/>
                <w:sz w:val="26"/>
                <w:szCs w:val="26"/>
              </w:rPr>
              <w:t>(</w:t>
            </w:r>
            <w:r w:rsidR="005679B9" w:rsidRPr="005679B9">
              <w:rPr>
                <w:rFonts w:eastAsia="Calibri"/>
                <w:iCs/>
                <w:sz w:val="26"/>
                <w:szCs w:val="26"/>
              </w:rPr>
              <w:t>tulkojamā teksta 1 (viena) standarta A4 lapas puse satur 1800 rakstu zīmes, ieskaitot atstarpes starp vārdiem</w:t>
            </w:r>
            <w:r w:rsidRPr="005679B9">
              <w:rPr>
                <w:rFonts w:eastAsia="Calibri"/>
                <w:iCs/>
                <w:sz w:val="26"/>
                <w:szCs w:val="26"/>
              </w:rPr>
              <w:t xml:space="preserve">) </w:t>
            </w:r>
            <w:r w:rsidRPr="005679B9">
              <w:rPr>
                <w:rFonts w:eastAsia="Calibri"/>
                <w:sz w:val="26"/>
                <w:szCs w:val="26"/>
                <w:lang w:eastAsia="en-US"/>
              </w:rPr>
              <w:t>EUR bez PVN</w:t>
            </w:r>
          </w:p>
        </w:tc>
        <w:tc>
          <w:tcPr>
            <w:tcW w:w="3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44A7C" w:rsidRPr="005679B9" w:rsidRDefault="00144A7C" w:rsidP="001F2163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679B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EUR</w:t>
            </w:r>
          </w:p>
        </w:tc>
      </w:tr>
    </w:tbl>
    <w:p w:rsidR="00144A7C" w:rsidRPr="005679B9" w:rsidRDefault="00144A7C" w:rsidP="0000491B">
      <w:pPr>
        <w:rPr>
          <w:sz w:val="26"/>
          <w:szCs w:val="26"/>
        </w:rPr>
      </w:pPr>
    </w:p>
    <w:p w:rsidR="001149B0" w:rsidRDefault="001149B0" w:rsidP="0000491B">
      <w:pPr>
        <w:rPr>
          <w:sz w:val="26"/>
        </w:rPr>
      </w:pPr>
    </w:p>
    <w:p w:rsidR="005679B9" w:rsidRDefault="005679B9" w:rsidP="0000491B">
      <w:pPr>
        <w:rPr>
          <w:sz w:val="26"/>
        </w:rPr>
      </w:pPr>
    </w:p>
    <w:p w:rsidR="001149B0" w:rsidRPr="001149B0" w:rsidRDefault="001149B0" w:rsidP="001149B0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28"/>
        <w:gridCol w:w="1024"/>
        <w:gridCol w:w="2346"/>
      </w:tblGrid>
      <w:tr w:rsidR="001149B0" w:rsidRPr="001149B0" w:rsidTr="002C64EF">
        <w:tc>
          <w:tcPr>
            <w:tcW w:w="9400" w:type="dxa"/>
            <w:gridSpan w:val="4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149B0">
              <w:rPr>
                <w:b/>
                <w:sz w:val="26"/>
                <w:szCs w:val="26"/>
                <w:lang w:eastAsia="en-US"/>
              </w:rPr>
              <w:t>Informācija par pretendentu</w:t>
            </w: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Pretendenta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 xml:space="preserve">Reģistrācijas numurs 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Juridiskā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E-pasta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Pretendenta profila adrese internetā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9400" w:type="dxa"/>
            <w:gridSpan w:val="4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9400" w:type="dxa"/>
            <w:gridSpan w:val="4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b/>
                <w:sz w:val="26"/>
                <w:szCs w:val="26"/>
                <w:lang w:eastAsia="en-US"/>
              </w:rPr>
              <w:t>Finanšu rekvizīti</w:t>
            </w: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Bankas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Bankas kods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Konta numurs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9400" w:type="dxa"/>
            <w:gridSpan w:val="4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9400" w:type="dxa"/>
            <w:gridSpan w:val="4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1149B0">
              <w:rPr>
                <w:b/>
                <w:sz w:val="26"/>
                <w:szCs w:val="26"/>
                <w:lang w:eastAsia="en-US"/>
              </w:rPr>
              <w:t>Informācija par pretendenta kontaktpersonu (atbildīgo personu)</w:t>
            </w: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Vārds, uzvārds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Ieņemamais amats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3228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Fakss:</w:t>
            </w:r>
          </w:p>
        </w:tc>
        <w:tc>
          <w:tcPr>
            <w:tcW w:w="2346" w:type="dxa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49B0" w:rsidRPr="001149B0" w:rsidTr="002C64EF">
        <w:tc>
          <w:tcPr>
            <w:tcW w:w="2802" w:type="dxa"/>
            <w:shd w:val="clear" w:color="auto" w:fill="auto"/>
          </w:tcPr>
          <w:p w:rsidR="001149B0" w:rsidRPr="001149B0" w:rsidRDefault="001149B0" w:rsidP="001149B0">
            <w:pPr>
              <w:rPr>
                <w:sz w:val="26"/>
                <w:szCs w:val="26"/>
                <w:lang w:eastAsia="en-US"/>
              </w:rPr>
            </w:pPr>
            <w:r w:rsidRPr="001149B0">
              <w:rPr>
                <w:sz w:val="26"/>
                <w:szCs w:val="26"/>
                <w:lang w:eastAsia="en-US"/>
              </w:rPr>
              <w:t>E-pasta adrese: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1149B0" w:rsidRPr="001149B0" w:rsidRDefault="001149B0" w:rsidP="001149B0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1149B0" w:rsidRDefault="001149B0" w:rsidP="001149B0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C83332" w:rsidRDefault="00C83332" w:rsidP="001149B0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C83332" w:rsidRPr="001149B0" w:rsidRDefault="00C83332" w:rsidP="001149B0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1149B0" w:rsidRPr="001149B0" w:rsidRDefault="001149B0" w:rsidP="001149B0">
      <w:pPr>
        <w:spacing w:line="276" w:lineRule="auto"/>
        <w:ind w:right="565"/>
        <w:jc w:val="both"/>
        <w:rPr>
          <w:rFonts w:eastAsia="Calibri"/>
          <w:sz w:val="26"/>
          <w:szCs w:val="26"/>
          <w:lang w:eastAsia="en-US"/>
        </w:rPr>
      </w:pPr>
      <w:r w:rsidRPr="001149B0">
        <w:rPr>
          <w:rFonts w:eastAsia="Calibri"/>
          <w:sz w:val="26"/>
          <w:szCs w:val="26"/>
          <w:lang w:eastAsia="en-US"/>
        </w:rPr>
        <w:t>Nodrošinu visas Tehniskajā specifikācijā</w:t>
      </w:r>
      <w:r w:rsidR="005679B9">
        <w:rPr>
          <w:rFonts w:eastAsia="Calibri"/>
          <w:sz w:val="26"/>
          <w:szCs w:val="26"/>
          <w:lang w:eastAsia="en-US"/>
        </w:rPr>
        <w:t xml:space="preserve"> </w:t>
      </w:r>
      <w:r w:rsidRPr="001149B0">
        <w:rPr>
          <w:rFonts w:eastAsia="Calibri"/>
          <w:sz w:val="26"/>
          <w:szCs w:val="26"/>
          <w:lang w:eastAsia="en-US"/>
        </w:rPr>
        <w:t>-</w:t>
      </w:r>
      <w:r w:rsidR="005679B9">
        <w:rPr>
          <w:rFonts w:eastAsia="Calibri"/>
          <w:sz w:val="26"/>
          <w:szCs w:val="26"/>
          <w:lang w:eastAsia="en-US"/>
        </w:rPr>
        <w:t xml:space="preserve"> </w:t>
      </w:r>
      <w:r w:rsidRPr="001149B0">
        <w:rPr>
          <w:rFonts w:eastAsia="Calibri"/>
          <w:sz w:val="26"/>
          <w:szCs w:val="26"/>
          <w:lang w:eastAsia="en-US"/>
        </w:rPr>
        <w:t>Finanšu piedāvājumā izvirzītās prasības:</w:t>
      </w:r>
      <w:r w:rsidRPr="001149B0">
        <w:rPr>
          <w:sz w:val="26"/>
        </w:rPr>
        <w:t>________________________________________________________</w:t>
      </w:r>
    </w:p>
    <w:p w:rsidR="001149B0" w:rsidRPr="001149B0" w:rsidRDefault="001149B0" w:rsidP="001149B0">
      <w:pPr>
        <w:rPr>
          <w:sz w:val="20"/>
          <w:szCs w:val="20"/>
        </w:rPr>
      </w:pPr>
      <w:r w:rsidRPr="001149B0">
        <w:rPr>
          <w:sz w:val="20"/>
          <w:szCs w:val="20"/>
        </w:rPr>
        <w:t xml:space="preserve">                   (Pretendenta nosaukums, vadītāja vai pilnvarotās personas amats, vārds, uzvārds un paraksts) </w:t>
      </w:r>
    </w:p>
    <w:p w:rsidR="001149B0" w:rsidRPr="001149B0" w:rsidRDefault="001149B0" w:rsidP="001149B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49B0" w:rsidRDefault="001149B0" w:rsidP="0000491B">
      <w:pPr>
        <w:rPr>
          <w:sz w:val="26"/>
        </w:rPr>
      </w:pPr>
    </w:p>
    <w:sectPr w:rsidR="001149B0" w:rsidSect="005679B9">
      <w:headerReference w:type="default" r:id="rId8"/>
      <w:pgSz w:w="11906" w:h="16838"/>
      <w:pgMar w:top="851" w:right="851" w:bottom="1021" w:left="1701" w:header="22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F29" w:rsidRDefault="008B7F29" w:rsidP="00A55408">
      <w:r>
        <w:separator/>
      </w:r>
    </w:p>
  </w:endnote>
  <w:endnote w:type="continuationSeparator" w:id="0">
    <w:p w:rsidR="008B7F29" w:rsidRDefault="008B7F29" w:rsidP="00A5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font415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F29" w:rsidRDefault="008B7F29" w:rsidP="00A55408">
      <w:r>
        <w:separator/>
      </w:r>
    </w:p>
  </w:footnote>
  <w:footnote w:type="continuationSeparator" w:id="0">
    <w:p w:rsidR="008B7F29" w:rsidRDefault="008B7F29" w:rsidP="00A5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2488746"/>
      <w:docPartObj>
        <w:docPartGallery w:val="Page Numbers (Top of Page)"/>
        <w:docPartUnique/>
      </w:docPartObj>
    </w:sdtPr>
    <w:sdtEndPr/>
    <w:sdtContent>
      <w:p w:rsidR="00A55408" w:rsidRDefault="00A5540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5408" w:rsidRDefault="00A5540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1B9"/>
    <w:multiLevelType w:val="hybridMultilevel"/>
    <w:tmpl w:val="0DF81D7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24B22"/>
    <w:multiLevelType w:val="hybridMultilevel"/>
    <w:tmpl w:val="4DFC4C40"/>
    <w:lvl w:ilvl="0" w:tplc="FE8E3E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D109A"/>
    <w:multiLevelType w:val="hybridMultilevel"/>
    <w:tmpl w:val="9FCE12EE"/>
    <w:lvl w:ilvl="0" w:tplc="2B08619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2B1E5B6D"/>
    <w:multiLevelType w:val="hybridMultilevel"/>
    <w:tmpl w:val="02F2550A"/>
    <w:lvl w:ilvl="0" w:tplc="8E8AD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34367"/>
    <w:multiLevelType w:val="hybridMultilevel"/>
    <w:tmpl w:val="C14642A4"/>
    <w:lvl w:ilvl="0" w:tplc="0426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560C4AE3"/>
    <w:multiLevelType w:val="hybridMultilevel"/>
    <w:tmpl w:val="89725A56"/>
    <w:lvl w:ilvl="0" w:tplc="0C6E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C18F2"/>
    <w:multiLevelType w:val="hybridMultilevel"/>
    <w:tmpl w:val="09009950"/>
    <w:lvl w:ilvl="0" w:tplc="32D20F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833376"/>
    <w:multiLevelType w:val="hybridMultilevel"/>
    <w:tmpl w:val="7E12E9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22FA7"/>
    <w:multiLevelType w:val="hybridMultilevel"/>
    <w:tmpl w:val="447CA9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52B8F"/>
    <w:multiLevelType w:val="hybridMultilevel"/>
    <w:tmpl w:val="FC9A5C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6A9"/>
    <w:rsid w:val="0000375F"/>
    <w:rsid w:val="0000491B"/>
    <w:rsid w:val="00015F05"/>
    <w:rsid w:val="00020BB0"/>
    <w:rsid w:val="00024E21"/>
    <w:rsid w:val="00027B33"/>
    <w:rsid w:val="00044B18"/>
    <w:rsid w:val="00050AAE"/>
    <w:rsid w:val="0005401C"/>
    <w:rsid w:val="000643D7"/>
    <w:rsid w:val="00067282"/>
    <w:rsid w:val="000717BF"/>
    <w:rsid w:val="000719D7"/>
    <w:rsid w:val="000753B8"/>
    <w:rsid w:val="00075FCA"/>
    <w:rsid w:val="000866DA"/>
    <w:rsid w:val="00095623"/>
    <w:rsid w:val="0009643C"/>
    <w:rsid w:val="000A3131"/>
    <w:rsid w:val="000A5104"/>
    <w:rsid w:val="000A7A71"/>
    <w:rsid w:val="000A7C15"/>
    <w:rsid w:val="000B3059"/>
    <w:rsid w:val="000B4779"/>
    <w:rsid w:val="000C33C8"/>
    <w:rsid w:val="000C6D75"/>
    <w:rsid w:val="000D0928"/>
    <w:rsid w:val="000E0957"/>
    <w:rsid w:val="000E3A29"/>
    <w:rsid w:val="000E4C4D"/>
    <w:rsid w:val="000E76DD"/>
    <w:rsid w:val="00101765"/>
    <w:rsid w:val="001149B0"/>
    <w:rsid w:val="0013141C"/>
    <w:rsid w:val="00140A8E"/>
    <w:rsid w:val="00143CC0"/>
    <w:rsid w:val="00144A7C"/>
    <w:rsid w:val="00156409"/>
    <w:rsid w:val="001618F5"/>
    <w:rsid w:val="0016358E"/>
    <w:rsid w:val="001715D8"/>
    <w:rsid w:val="001870E9"/>
    <w:rsid w:val="00190C97"/>
    <w:rsid w:val="00197EEC"/>
    <w:rsid w:val="001A20AC"/>
    <w:rsid w:val="001B5138"/>
    <w:rsid w:val="001C2D34"/>
    <w:rsid w:val="001C483D"/>
    <w:rsid w:val="001E6815"/>
    <w:rsid w:val="001F47CB"/>
    <w:rsid w:val="00202EFD"/>
    <w:rsid w:val="0020305F"/>
    <w:rsid w:val="00230641"/>
    <w:rsid w:val="0023484B"/>
    <w:rsid w:val="0023612F"/>
    <w:rsid w:val="002373A9"/>
    <w:rsid w:val="00253FE8"/>
    <w:rsid w:val="00261AC1"/>
    <w:rsid w:val="00261DCE"/>
    <w:rsid w:val="002660FC"/>
    <w:rsid w:val="00266B56"/>
    <w:rsid w:val="00273E1E"/>
    <w:rsid w:val="00273F96"/>
    <w:rsid w:val="002847BA"/>
    <w:rsid w:val="002859D5"/>
    <w:rsid w:val="002940FE"/>
    <w:rsid w:val="00294991"/>
    <w:rsid w:val="002A1844"/>
    <w:rsid w:val="002A5C2C"/>
    <w:rsid w:val="002A689F"/>
    <w:rsid w:val="002B0281"/>
    <w:rsid w:val="002C3572"/>
    <w:rsid w:val="002C6981"/>
    <w:rsid w:val="00307469"/>
    <w:rsid w:val="00320BDE"/>
    <w:rsid w:val="00320C37"/>
    <w:rsid w:val="00322C7F"/>
    <w:rsid w:val="00323CCA"/>
    <w:rsid w:val="00324789"/>
    <w:rsid w:val="003276DA"/>
    <w:rsid w:val="00337AAD"/>
    <w:rsid w:val="00342E41"/>
    <w:rsid w:val="0034477F"/>
    <w:rsid w:val="003506C8"/>
    <w:rsid w:val="00353BFA"/>
    <w:rsid w:val="00383175"/>
    <w:rsid w:val="00395E86"/>
    <w:rsid w:val="00397553"/>
    <w:rsid w:val="003A7578"/>
    <w:rsid w:val="003B0A51"/>
    <w:rsid w:val="003B3A7A"/>
    <w:rsid w:val="003B5889"/>
    <w:rsid w:val="003C0929"/>
    <w:rsid w:val="003C13E3"/>
    <w:rsid w:val="003C228C"/>
    <w:rsid w:val="003C651D"/>
    <w:rsid w:val="003F7663"/>
    <w:rsid w:val="003F7675"/>
    <w:rsid w:val="00400551"/>
    <w:rsid w:val="00402145"/>
    <w:rsid w:val="00417CFC"/>
    <w:rsid w:val="00441351"/>
    <w:rsid w:val="0044336B"/>
    <w:rsid w:val="004505B4"/>
    <w:rsid w:val="004631C5"/>
    <w:rsid w:val="00486EEE"/>
    <w:rsid w:val="004902A0"/>
    <w:rsid w:val="00492F26"/>
    <w:rsid w:val="00496A51"/>
    <w:rsid w:val="004B0862"/>
    <w:rsid w:val="004B5F9F"/>
    <w:rsid w:val="004C30F3"/>
    <w:rsid w:val="004C3663"/>
    <w:rsid w:val="004C617C"/>
    <w:rsid w:val="004D3DE8"/>
    <w:rsid w:val="004D6FF9"/>
    <w:rsid w:val="004E4B0F"/>
    <w:rsid w:val="004F433F"/>
    <w:rsid w:val="004F5951"/>
    <w:rsid w:val="004F6DCE"/>
    <w:rsid w:val="00500D04"/>
    <w:rsid w:val="005022FB"/>
    <w:rsid w:val="00514B88"/>
    <w:rsid w:val="005150F4"/>
    <w:rsid w:val="00516C1E"/>
    <w:rsid w:val="00524E11"/>
    <w:rsid w:val="0054439E"/>
    <w:rsid w:val="005679B9"/>
    <w:rsid w:val="0057103F"/>
    <w:rsid w:val="005852CA"/>
    <w:rsid w:val="00587F75"/>
    <w:rsid w:val="0059114C"/>
    <w:rsid w:val="005B286C"/>
    <w:rsid w:val="005C1A35"/>
    <w:rsid w:val="005E1F5E"/>
    <w:rsid w:val="005F7B8C"/>
    <w:rsid w:val="0060566B"/>
    <w:rsid w:val="00606A87"/>
    <w:rsid w:val="0060733F"/>
    <w:rsid w:val="00620A0E"/>
    <w:rsid w:val="00625660"/>
    <w:rsid w:val="0063707F"/>
    <w:rsid w:val="0065354E"/>
    <w:rsid w:val="00665EF8"/>
    <w:rsid w:val="0066717A"/>
    <w:rsid w:val="00684B4C"/>
    <w:rsid w:val="00693208"/>
    <w:rsid w:val="00693D40"/>
    <w:rsid w:val="006A19CE"/>
    <w:rsid w:val="006B5734"/>
    <w:rsid w:val="006C322F"/>
    <w:rsid w:val="006C769F"/>
    <w:rsid w:val="006E2BB8"/>
    <w:rsid w:val="006E7D04"/>
    <w:rsid w:val="006F33B5"/>
    <w:rsid w:val="00714BC2"/>
    <w:rsid w:val="00726496"/>
    <w:rsid w:val="00731B00"/>
    <w:rsid w:val="0075414A"/>
    <w:rsid w:val="00756347"/>
    <w:rsid w:val="007847CB"/>
    <w:rsid w:val="007910A4"/>
    <w:rsid w:val="00795A83"/>
    <w:rsid w:val="00796913"/>
    <w:rsid w:val="007B6008"/>
    <w:rsid w:val="007B6BDC"/>
    <w:rsid w:val="007C0AFE"/>
    <w:rsid w:val="007D226B"/>
    <w:rsid w:val="007E0408"/>
    <w:rsid w:val="007E0FC3"/>
    <w:rsid w:val="007E1A65"/>
    <w:rsid w:val="007E3F3D"/>
    <w:rsid w:val="007F3172"/>
    <w:rsid w:val="007F3C2F"/>
    <w:rsid w:val="007F724C"/>
    <w:rsid w:val="00805C61"/>
    <w:rsid w:val="008179F4"/>
    <w:rsid w:val="00823DC4"/>
    <w:rsid w:val="00826EDE"/>
    <w:rsid w:val="0083730A"/>
    <w:rsid w:val="00840E4B"/>
    <w:rsid w:val="00844143"/>
    <w:rsid w:val="00844380"/>
    <w:rsid w:val="0084615A"/>
    <w:rsid w:val="00852E5D"/>
    <w:rsid w:val="00857188"/>
    <w:rsid w:val="008734B1"/>
    <w:rsid w:val="00880B85"/>
    <w:rsid w:val="008846A9"/>
    <w:rsid w:val="00885F01"/>
    <w:rsid w:val="0089082D"/>
    <w:rsid w:val="00891711"/>
    <w:rsid w:val="00892927"/>
    <w:rsid w:val="0089543B"/>
    <w:rsid w:val="008962E4"/>
    <w:rsid w:val="008A2303"/>
    <w:rsid w:val="008A60EA"/>
    <w:rsid w:val="008B3DA6"/>
    <w:rsid w:val="008B4F52"/>
    <w:rsid w:val="008B7F29"/>
    <w:rsid w:val="008C4368"/>
    <w:rsid w:val="008D18E9"/>
    <w:rsid w:val="008F4605"/>
    <w:rsid w:val="0091433A"/>
    <w:rsid w:val="009172E9"/>
    <w:rsid w:val="0092234D"/>
    <w:rsid w:val="00926F70"/>
    <w:rsid w:val="009459E4"/>
    <w:rsid w:val="0095312D"/>
    <w:rsid w:val="009701D7"/>
    <w:rsid w:val="00987109"/>
    <w:rsid w:val="009871FB"/>
    <w:rsid w:val="009927D0"/>
    <w:rsid w:val="00995BC6"/>
    <w:rsid w:val="009A0427"/>
    <w:rsid w:val="009B3A0B"/>
    <w:rsid w:val="009B6EE2"/>
    <w:rsid w:val="009C12C4"/>
    <w:rsid w:val="009C4C7C"/>
    <w:rsid w:val="009C65BD"/>
    <w:rsid w:val="009D36BD"/>
    <w:rsid w:val="009D719F"/>
    <w:rsid w:val="009E24DB"/>
    <w:rsid w:val="009E40A2"/>
    <w:rsid w:val="009E56A1"/>
    <w:rsid w:val="00A03DC5"/>
    <w:rsid w:val="00A107CF"/>
    <w:rsid w:val="00A25915"/>
    <w:rsid w:val="00A32EA9"/>
    <w:rsid w:val="00A3569B"/>
    <w:rsid w:val="00A36B60"/>
    <w:rsid w:val="00A44153"/>
    <w:rsid w:val="00A55408"/>
    <w:rsid w:val="00A71AD2"/>
    <w:rsid w:val="00A759D1"/>
    <w:rsid w:val="00A80039"/>
    <w:rsid w:val="00A846EB"/>
    <w:rsid w:val="00A86F24"/>
    <w:rsid w:val="00A92700"/>
    <w:rsid w:val="00AC1706"/>
    <w:rsid w:val="00AE07F4"/>
    <w:rsid w:val="00AE52C0"/>
    <w:rsid w:val="00AF7E08"/>
    <w:rsid w:val="00B17075"/>
    <w:rsid w:val="00B23A82"/>
    <w:rsid w:val="00B50BCE"/>
    <w:rsid w:val="00B63614"/>
    <w:rsid w:val="00B6393A"/>
    <w:rsid w:val="00B678B7"/>
    <w:rsid w:val="00B813E2"/>
    <w:rsid w:val="00B8619D"/>
    <w:rsid w:val="00B87A26"/>
    <w:rsid w:val="00B95A5F"/>
    <w:rsid w:val="00BA5CAA"/>
    <w:rsid w:val="00BB28A6"/>
    <w:rsid w:val="00BB4D1F"/>
    <w:rsid w:val="00BB5043"/>
    <w:rsid w:val="00BB5FDA"/>
    <w:rsid w:val="00BD4AE7"/>
    <w:rsid w:val="00BE1C8F"/>
    <w:rsid w:val="00BF2290"/>
    <w:rsid w:val="00BF4005"/>
    <w:rsid w:val="00C0781C"/>
    <w:rsid w:val="00C135F0"/>
    <w:rsid w:val="00C164A0"/>
    <w:rsid w:val="00C21FB5"/>
    <w:rsid w:val="00C32301"/>
    <w:rsid w:val="00C32610"/>
    <w:rsid w:val="00C362CA"/>
    <w:rsid w:val="00C405E0"/>
    <w:rsid w:val="00C406F2"/>
    <w:rsid w:val="00C469BD"/>
    <w:rsid w:val="00C600CE"/>
    <w:rsid w:val="00C637D5"/>
    <w:rsid w:val="00C803EB"/>
    <w:rsid w:val="00C8100D"/>
    <w:rsid w:val="00C83332"/>
    <w:rsid w:val="00C85F1D"/>
    <w:rsid w:val="00C91652"/>
    <w:rsid w:val="00C9396D"/>
    <w:rsid w:val="00C9773D"/>
    <w:rsid w:val="00CA1B17"/>
    <w:rsid w:val="00CB08ED"/>
    <w:rsid w:val="00CB7F6B"/>
    <w:rsid w:val="00CC494B"/>
    <w:rsid w:val="00CE6C03"/>
    <w:rsid w:val="00D00C8B"/>
    <w:rsid w:val="00D06705"/>
    <w:rsid w:val="00D11093"/>
    <w:rsid w:val="00D114A1"/>
    <w:rsid w:val="00D15B4F"/>
    <w:rsid w:val="00D215CE"/>
    <w:rsid w:val="00D22F2E"/>
    <w:rsid w:val="00D32C39"/>
    <w:rsid w:val="00D50520"/>
    <w:rsid w:val="00D505E0"/>
    <w:rsid w:val="00D51E74"/>
    <w:rsid w:val="00D556E9"/>
    <w:rsid w:val="00D778CD"/>
    <w:rsid w:val="00D8058B"/>
    <w:rsid w:val="00D80B60"/>
    <w:rsid w:val="00D80D6B"/>
    <w:rsid w:val="00D81FB9"/>
    <w:rsid w:val="00D83F1C"/>
    <w:rsid w:val="00D86122"/>
    <w:rsid w:val="00D92EE2"/>
    <w:rsid w:val="00D92F10"/>
    <w:rsid w:val="00D96409"/>
    <w:rsid w:val="00DA3D4B"/>
    <w:rsid w:val="00DA65D5"/>
    <w:rsid w:val="00DB009E"/>
    <w:rsid w:val="00DB035D"/>
    <w:rsid w:val="00DB4AE2"/>
    <w:rsid w:val="00DB7125"/>
    <w:rsid w:val="00DC0A32"/>
    <w:rsid w:val="00DC1A81"/>
    <w:rsid w:val="00E00704"/>
    <w:rsid w:val="00E01E17"/>
    <w:rsid w:val="00E04CC2"/>
    <w:rsid w:val="00E051DA"/>
    <w:rsid w:val="00E2421B"/>
    <w:rsid w:val="00E24D5D"/>
    <w:rsid w:val="00E259C5"/>
    <w:rsid w:val="00E320F3"/>
    <w:rsid w:val="00E33A09"/>
    <w:rsid w:val="00E34F31"/>
    <w:rsid w:val="00E43470"/>
    <w:rsid w:val="00E51E79"/>
    <w:rsid w:val="00E5411E"/>
    <w:rsid w:val="00E55122"/>
    <w:rsid w:val="00E77363"/>
    <w:rsid w:val="00EB53A5"/>
    <w:rsid w:val="00EB6ABB"/>
    <w:rsid w:val="00EB7544"/>
    <w:rsid w:val="00EE1A4F"/>
    <w:rsid w:val="00F221F1"/>
    <w:rsid w:val="00F52FB4"/>
    <w:rsid w:val="00F62CB7"/>
    <w:rsid w:val="00F64033"/>
    <w:rsid w:val="00F6483A"/>
    <w:rsid w:val="00F73EED"/>
    <w:rsid w:val="00F82A0F"/>
    <w:rsid w:val="00F82C65"/>
    <w:rsid w:val="00F82EF7"/>
    <w:rsid w:val="00F90E8F"/>
    <w:rsid w:val="00F97217"/>
    <w:rsid w:val="00FA71F5"/>
    <w:rsid w:val="00FC381C"/>
    <w:rsid w:val="00FC7CAE"/>
    <w:rsid w:val="00FD0755"/>
    <w:rsid w:val="00FD086B"/>
    <w:rsid w:val="00FD455D"/>
    <w:rsid w:val="00FF1907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636EB1E"/>
  <w15:docId w15:val="{3B364C8D-BDA5-4741-9396-3091D9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8846A9"/>
    <w:rPr>
      <w:sz w:val="24"/>
      <w:szCs w:val="24"/>
    </w:rPr>
  </w:style>
  <w:style w:type="paragraph" w:styleId="Virsraksts1">
    <w:name w:val="heading 1"/>
    <w:basedOn w:val="Parasts"/>
    <w:next w:val="Parasts"/>
    <w:qFormat/>
    <w:rsid w:val="00714BC2"/>
    <w:pPr>
      <w:keepNext/>
      <w:jc w:val="center"/>
      <w:outlineLvl w:val="0"/>
    </w:pPr>
    <w:rPr>
      <w:b/>
      <w:sz w:val="26"/>
      <w:szCs w:val="20"/>
    </w:rPr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DA65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714BC2"/>
    <w:pPr>
      <w:jc w:val="both"/>
    </w:pPr>
    <w:rPr>
      <w:sz w:val="26"/>
      <w:szCs w:val="20"/>
    </w:rPr>
  </w:style>
  <w:style w:type="table" w:styleId="Reatabula">
    <w:name w:val="Table Grid"/>
    <w:basedOn w:val="Parastatabula"/>
    <w:rsid w:val="00A35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4F595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F82A0F"/>
    <w:pPr>
      <w:ind w:left="720"/>
      <w:contextualSpacing/>
    </w:pPr>
  </w:style>
  <w:style w:type="character" w:styleId="Hipersaite">
    <w:name w:val="Hyperlink"/>
    <w:basedOn w:val="Noklusjumarindkopasfonts"/>
    <w:rsid w:val="00F82A0F"/>
    <w:rPr>
      <w:color w:val="0000FF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semiHidden/>
    <w:rsid w:val="00DA65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A5540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55408"/>
    <w:rPr>
      <w:sz w:val="24"/>
      <w:szCs w:val="24"/>
    </w:rPr>
  </w:style>
  <w:style w:type="paragraph" w:styleId="Kjene">
    <w:name w:val="footer"/>
    <w:basedOn w:val="Parasts"/>
    <w:link w:val="KjeneRakstz"/>
    <w:unhideWhenUsed/>
    <w:rsid w:val="00A5540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A554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3D009-FFF7-4232-886B-6B833959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</vt:lpstr>
    </vt:vector>
  </TitlesOfParts>
  <Company>Rigas Dome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Inga Brauča</dc:creator>
  <cp:lastModifiedBy>Inga Brauča</cp:lastModifiedBy>
  <cp:revision>44</cp:revision>
  <cp:lastPrinted>2019-02-06T08:42:00Z</cp:lastPrinted>
  <dcterms:created xsi:type="dcterms:W3CDTF">2019-02-06T10:02:00Z</dcterms:created>
  <dcterms:modified xsi:type="dcterms:W3CDTF">2019-02-14T10:34:00Z</dcterms:modified>
</cp:coreProperties>
</file>