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396" w:rsidRPr="001B3050" w:rsidRDefault="00AF0D32" w:rsidP="00463FC6">
      <w:pPr>
        <w:jc w:val="center"/>
        <w:rPr>
          <w:i/>
          <w:lang w:val="lv-LV"/>
        </w:rPr>
      </w:pPr>
      <w:bookmarkStart w:id="0" w:name="_GoBack"/>
      <w:bookmarkEnd w:id="0"/>
      <w:r w:rsidRPr="00F202E1">
        <w:rPr>
          <w:b/>
          <w:lang w:val="lv-LV"/>
        </w:rPr>
        <w:t>TEHNISKĀ SPECIFIKĀCIJA</w:t>
      </w:r>
    </w:p>
    <w:p w:rsidR="00592CA6" w:rsidRPr="00BD4E28" w:rsidRDefault="00592CA6" w:rsidP="001B3050">
      <w:pPr>
        <w:ind w:left="360"/>
        <w:jc w:val="center"/>
        <w:rPr>
          <w:b/>
          <w:sz w:val="28"/>
          <w:szCs w:val="28"/>
          <w:lang w:val="lv-LV"/>
        </w:rPr>
      </w:pPr>
    </w:p>
    <w:tbl>
      <w:tblPr>
        <w:tblStyle w:val="Reatabula"/>
        <w:tblW w:w="9782" w:type="dxa"/>
        <w:tblInd w:w="-176" w:type="dxa"/>
        <w:tblLook w:val="01E0" w:firstRow="1" w:lastRow="1" w:firstColumn="1" w:lastColumn="1" w:noHBand="0" w:noVBand="0"/>
      </w:tblPr>
      <w:tblGrid>
        <w:gridCol w:w="894"/>
        <w:gridCol w:w="8888"/>
      </w:tblGrid>
      <w:tr w:rsidR="00771396" w:rsidRPr="003041CF" w:rsidTr="00276E80">
        <w:trPr>
          <w:trHeight w:val="391"/>
        </w:trPr>
        <w:tc>
          <w:tcPr>
            <w:tcW w:w="894" w:type="dxa"/>
          </w:tcPr>
          <w:p w:rsidR="00771396" w:rsidRPr="000C3EB8" w:rsidRDefault="00771396" w:rsidP="000C3EB8">
            <w:pPr>
              <w:spacing w:before="120" w:after="120" w:line="264" w:lineRule="exact"/>
              <w:jc w:val="center"/>
              <w:rPr>
                <w:b/>
                <w:color w:val="000000"/>
                <w:spacing w:val="-7"/>
                <w:lang w:val="lv-LV"/>
              </w:rPr>
            </w:pPr>
            <w:proofErr w:type="spellStart"/>
            <w:r w:rsidRPr="000C3EB8">
              <w:rPr>
                <w:b/>
                <w:color w:val="000000"/>
                <w:spacing w:val="-7"/>
                <w:lang w:val="lv-LV"/>
              </w:rPr>
              <w:t>Nr.p.k</w:t>
            </w:r>
            <w:proofErr w:type="spellEnd"/>
            <w:r w:rsidRPr="000C3EB8">
              <w:rPr>
                <w:b/>
                <w:color w:val="000000"/>
                <w:spacing w:val="-7"/>
                <w:lang w:val="lv-LV"/>
              </w:rPr>
              <w:t>.</w:t>
            </w:r>
          </w:p>
        </w:tc>
        <w:tc>
          <w:tcPr>
            <w:tcW w:w="8888" w:type="dxa"/>
          </w:tcPr>
          <w:p w:rsidR="00771396" w:rsidRPr="000C3EB8" w:rsidRDefault="00771396" w:rsidP="000C3EB8">
            <w:pPr>
              <w:spacing w:before="120" w:after="120" w:line="264" w:lineRule="exact"/>
              <w:jc w:val="center"/>
              <w:rPr>
                <w:b/>
                <w:color w:val="000000"/>
                <w:spacing w:val="-7"/>
                <w:lang w:val="lv-LV"/>
              </w:rPr>
            </w:pPr>
            <w:r w:rsidRPr="000C3EB8">
              <w:rPr>
                <w:b/>
                <w:color w:val="000000"/>
                <w:spacing w:val="-7"/>
                <w:lang w:val="lv-LV"/>
              </w:rPr>
              <w:t>Iepirkumā izvirzītās prasības</w:t>
            </w:r>
          </w:p>
        </w:tc>
      </w:tr>
      <w:tr w:rsidR="00771396" w:rsidRPr="00C84E6D" w:rsidTr="00276E80">
        <w:tc>
          <w:tcPr>
            <w:tcW w:w="894" w:type="dxa"/>
          </w:tcPr>
          <w:p w:rsidR="00771396" w:rsidRPr="00E241C1" w:rsidRDefault="00771396" w:rsidP="007829B2">
            <w:pPr>
              <w:spacing w:before="120" w:after="120"/>
              <w:jc w:val="center"/>
              <w:rPr>
                <w:spacing w:val="-7"/>
                <w:lang w:val="lv-LV"/>
              </w:rPr>
            </w:pPr>
            <w:r w:rsidRPr="00E241C1">
              <w:rPr>
                <w:spacing w:val="-7"/>
                <w:lang w:val="lv-LV"/>
              </w:rPr>
              <w:t>1.</w:t>
            </w:r>
          </w:p>
        </w:tc>
        <w:tc>
          <w:tcPr>
            <w:tcW w:w="8888" w:type="dxa"/>
          </w:tcPr>
          <w:p w:rsidR="00C005B4" w:rsidRPr="00E241C1" w:rsidRDefault="00771396" w:rsidP="007829B2">
            <w:pPr>
              <w:spacing w:before="120" w:after="120"/>
              <w:jc w:val="both"/>
              <w:rPr>
                <w:lang w:val="lv-LV"/>
              </w:rPr>
            </w:pPr>
            <w:r w:rsidRPr="00E241C1">
              <w:rPr>
                <w:lang w:val="lv-LV"/>
              </w:rPr>
              <w:t>Sniegt  Pasūtītājam juridiskos  pakalpojumus – veikt Pasūtītāja juridisko pārstāvību tiesu iestādēs</w:t>
            </w:r>
            <w:r w:rsidR="00C005B4" w:rsidRPr="00E241C1">
              <w:rPr>
                <w:lang w:val="lv-LV"/>
              </w:rPr>
              <w:t>, ieskaitot paskaidrojumu, iesniegumu, sūdzību un citu tiesai iesniedzamo dokumentu sagatavošanu un iesniegšanu tiesā</w:t>
            </w:r>
            <w:r w:rsidRPr="00E241C1">
              <w:rPr>
                <w:lang w:val="lv-LV"/>
              </w:rPr>
              <w:t>.</w:t>
            </w:r>
          </w:p>
          <w:p w:rsidR="00772A63" w:rsidRPr="00E241C1" w:rsidRDefault="00771396" w:rsidP="007829B2">
            <w:pPr>
              <w:spacing w:before="120" w:after="120"/>
              <w:jc w:val="both"/>
              <w:rPr>
                <w:lang w:val="lv-LV"/>
              </w:rPr>
            </w:pPr>
            <w:r w:rsidRPr="00E241C1">
              <w:rPr>
                <w:lang w:val="lv-LV"/>
              </w:rPr>
              <w:t>Minētā pārstāvība sevī ietver Pasūtītāja pārstāvību tiesu iestādēs saistībā ar</w:t>
            </w:r>
            <w:r w:rsidR="00772A63" w:rsidRPr="00E241C1">
              <w:rPr>
                <w:lang w:val="lv-LV"/>
              </w:rPr>
              <w:t>:</w:t>
            </w:r>
          </w:p>
          <w:p w:rsidR="00772A63" w:rsidRPr="00E241C1" w:rsidRDefault="00772A63" w:rsidP="007829B2">
            <w:pPr>
              <w:spacing w:before="120" w:after="120"/>
              <w:jc w:val="both"/>
              <w:rPr>
                <w:lang w:val="lv-LV"/>
              </w:rPr>
            </w:pPr>
            <w:r w:rsidRPr="00E241C1">
              <w:rPr>
                <w:lang w:val="lv-LV"/>
              </w:rPr>
              <w:t>-</w:t>
            </w:r>
            <w:r w:rsidR="00771396" w:rsidRPr="00E241C1">
              <w:rPr>
                <w:lang w:val="lv-LV"/>
              </w:rPr>
              <w:t xml:space="preserve"> fizisko vai juridisko personu sūdzībām par administratīvo sodu piemērošanu un citiem no administratīvā pārkāpuma lietas izrietošajiem prasījumiem</w:t>
            </w:r>
            <w:r w:rsidR="00276E80" w:rsidRPr="00E241C1">
              <w:rPr>
                <w:lang w:val="lv-LV"/>
              </w:rPr>
              <w:t>;</w:t>
            </w:r>
            <w:r w:rsidR="00771396" w:rsidRPr="00E241C1">
              <w:rPr>
                <w:lang w:val="lv-LV"/>
              </w:rPr>
              <w:t xml:space="preserve"> </w:t>
            </w:r>
          </w:p>
          <w:p w:rsidR="00772A63" w:rsidRPr="00E241C1" w:rsidRDefault="00772A63" w:rsidP="007829B2">
            <w:pPr>
              <w:spacing w:before="120" w:after="120"/>
              <w:jc w:val="both"/>
              <w:rPr>
                <w:lang w:val="lv-LV"/>
              </w:rPr>
            </w:pPr>
            <w:r w:rsidRPr="00E241C1">
              <w:rPr>
                <w:lang w:val="lv-LV"/>
              </w:rPr>
              <w:t xml:space="preserve">- </w:t>
            </w:r>
            <w:r w:rsidR="00C005B4" w:rsidRPr="00E241C1">
              <w:rPr>
                <w:lang w:val="lv-LV"/>
              </w:rPr>
              <w:t xml:space="preserve">prasījumiem par </w:t>
            </w:r>
            <w:r w:rsidRPr="00E241C1">
              <w:rPr>
                <w:lang w:val="lv-LV"/>
              </w:rPr>
              <w:t>mantisko zaudējumu, personisko kaitējumu un morālo kaitējumu atlīdzināšanu;</w:t>
            </w:r>
          </w:p>
          <w:p w:rsidR="00771396" w:rsidRPr="003E3177" w:rsidRDefault="00772A63" w:rsidP="00D671C3">
            <w:pPr>
              <w:spacing w:before="120" w:after="120"/>
              <w:jc w:val="both"/>
              <w:rPr>
                <w:lang w:val="lv-LV"/>
              </w:rPr>
            </w:pPr>
            <w:r w:rsidRPr="00E241C1">
              <w:rPr>
                <w:lang w:val="lv-LV"/>
              </w:rPr>
              <w:t>- prasījumiem civilās tiesvedības kārtībā</w:t>
            </w:r>
            <w:r w:rsidR="00B01CC5" w:rsidRPr="00E241C1">
              <w:rPr>
                <w:lang w:val="lv-LV"/>
              </w:rPr>
              <w:t>, izņemot lietas, kas saistītas ar darba strīdu izskatīšanu</w:t>
            </w:r>
            <w:r w:rsidRPr="00E241C1">
              <w:rPr>
                <w:lang w:val="lv-LV"/>
              </w:rPr>
              <w:t xml:space="preserve"> un </w:t>
            </w:r>
            <w:r w:rsidR="00D671C3">
              <w:rPr>
                <w:lang w:val="lv-LV"/>
              </w:rPr>
              <w:t>naudas piedziņu</w:t>
            </w:r>
            <w:r w:rsidR="003E3177">
              <w:rPr>
                <w:lang w:val="lv-LV"/>
              </w:rPr>
              <w:t>.</w:t>
            </w:r>
          </w:p>
        </w:tc>
      </w:tr>
      <w:tr w:rsidR="00B46BFA" w:rsidRPr="00C84E6D" w:rsidTr="00276E80">
        <w:tc>
          <w:tcPr>
            <w:tcW w:w="894" w:type="dxa"/>
          </w:tcPr>
          <w:p w:rsidR="00B46BFA" w:rsidRPr="00E91A9D" w:rsidRDefault="00B46BFA" w:rsidP="007829B2">
            <w:pPr>
              <w:spacing w:before="120" w:after="120"/>
              <w:jc w:val="center"/>
              <w:rPr>
                <w:color w:val="000000"/>
                <w:spacing w:val="-7"/>
                <w:lang w:val="lv-LV"/>
              </w:rPr>
            </w:pPr>
            <w:r w:rsidRPr="00E91A9D">
              <w:rPr>
                <w:color w:val="000000"/>
                <w:spacing w:val="-7"/>
                <w:lang w:val="lv-LV"/>
              </w:rPr>
              <w:t>2.</w:t>
            </w:r>
          </w:p>
        </w:tc>
        <w:tc>
          <w:tcPr>
            <w:tcW w:w="8888" w:type="dxa"/>
          </w:tcPr>
          <w:p w:rsidR="00B46BFA" w:rsidRPr="00CA08C4" w:rsidRDefault="00B46BFA" w:rsidP="0066360E">
            <w:pPr>
              <w:spacing w:before="120" w:after="120"/>
              <w:jc w:val="both"/>
              <w:rPr>
                <w:lang w:val="lv-LV"/>
              </w:rPr>
            </w:pPr>
            <w:r w:rsidRPr="00CA08C4">
              <w:rPr>
                <w:lang w:val="lv-LV"/>
              </w:rPr>
              <w:t>Veikt Pasūtītāja pārstāvību citās valsts vai pašvaldību iestādēs, attiecībās ar fiziskām vai juridiskām personām, cik tālu nepieciešamība pēc šādas pārstāvības izriet no tiesas procesiem, kuros pretendents ir uzņēmies Pasūtītāja pārstāvību.</w:t>
            </w:r>
          </w:p>
        </w:tc>
      </w:tr>
      <w:tr w:rsidR="00B46BFA" w:rsidRPr="00C84E6D" w:rsidTr="001D3F32">
        <w:trPr>
          <w:trHeight w:val="483"/>
        </w:trPr>
        <w:tc>
          <w:tcPr>
            <w:tcW w:w="894" w:type="dxa"/>
          </w:tcPr>
          <w:p w:rsidR="00B46BFA" w:rsidRPr="00E91A9D" w:rsidRDefault="00B46BFA" w:rsidP="007829B2">
            <w:pPr>
              <w:spacing w:before="120" w:after="120"/>
              <w:jc w:val="center"/>
              <w:rPr>
                <w:color w:val="000000"/>
                <w:spacing w:val="-7"/>
                <w:lang w:val="lv-LV"/>
              </w:rPr>
            </w:pPr>
            <w:r w:rsidRPr="00E91A9D">
              <w:rPr>
                <w:color w:val="000000"/>
                <w:spacing w:val="-7"/>
                <w:lang w:val="lv-LV"/>
              </w:rPr>
              <w:t>3.</w:t>
            </w:r>
          </w:p>
        </w:tc>
        <w:tc>
          <w:tcPr>
            <w:tcW w:w="8888" w:type="dxa"/>
          </w:tcPr>
          <w:p w:rsidR="00B46BFA" w:rsidRDefault="00B46BFA" w:rsidP="0066360E">
            <w:pPr>
              <w:pStyle w:val="Pamattekstsaratkpi"/>
              <w:ind w:left="0"/>
              <w:jc w:val="both"/>
              <w:rPr>
                <w:lang w:val="lv-LV"/>
              </w:rPr>
            </w:pPr>
            <w:r w:rsidRPr="00CA08C4">
              <w:rPr>
                <w:lang w:val="lv-LV"/>
              </w:rPr>
              <w:t>Saistībā ar pārstāvēto lietu tiesas procesiem sniegt Pasūtītājam pēc pieprasījuma rakstiskus atzinumus, atskaites vai priekšlikumus.</w:t>
            </w:r>
          </w:p>
          <w:p w:rsidR="000847F0" w:rsidRPr="00CA08C4" w:rsidRDefault="000847F0" w:rsidP="0066360E">
            <w:pPr>
              <w:pStyle w:val="Pamattekstsaratkpi"/>
              <w:ind w:left="0"/>
              <w:jc w:val="both"/>
              <w:rPr>
                <w:lang w:val="lv-LV"/>
              </w:rPr>
            </w:pPr>
            <w:r>
              <w:rPr>
                <w:lang w:val="lv-LV"/>
              </w:rPr>
              <w:t>Reizi mēnesī sniegt atskaiti par iepriekšējā mēnesī veiktajām darbībām.</w:t>
            </w:r>
          </w:p>
        </w:tc>
      </w:tr>
      <w:tr w:rsidR="00B46BFA" w:rsidRPr="00C84E6D" w:rsidTr="00276E80">
        <w:tc>
          <w:tcPr>
            <w:tcW w:w="894" w:type="dxa"/>
          </w:tcPr>
          <w:p w:rsidR="00B46BFA" w:rsidRPr="00E91A9D" w:rsidRDefault="00B46BFA" w:rsidP="007829B2">
            <w:pPr>
              <w:spacing w:before="120" w:after="120"/>
              <w:jc w:val="center"/>
              <w:rPr>
                <w:color w:val="000000"/>
                <w:spacing w:val="-7"/>
                <w:lang w:val="lv-LV"/>
              </w:rPr>
            </w:pPr>
            <w:r w:rsidRPr="00E91A9D">
              <w:rPr>
                <w:color w:val="000000"/>
                <w:spacing w:val="-7"/>
                <w:lang w:val="lv-LV"/>
              </w:rPr>
              <w:t>4.</w:t>
            </w:r>
          </w:p>
        </w:tc>
        <w:tc>
          <w:tcPr>
            <w:tcW w:w="8888" w:type="dxa"/>
          </w:tcPr>
          <w:p w:rsidR="00B46BFA" w:rsidRPr="009A3B94" w:rsidRDefault="00B46BFA" w:rsidP="00C84E6D">
            <w:pPr>
              <w:pStyle w:val="Pamattekstsaratkpi"/>
              <w:ind w:left="0"/>
              <w:jc w:val="both"/>
              <w:rPr>
                <w:lang w:val="lv-LV"/>
              </w:rPr>
            </w:pPr>
            <w:r w:rsidRPr="009A3B94">
              <w:rPr>
                <w:lang w:val="lv-LV"/>
              </w:rPr>
              <w:t xml:space="preserve">Pakalpojumu sniedzējam jānodrošina </w:t>
            </w:r>
            <w:r w:rsidR="00C84E6D" w:rsidRPr="009A3B94">
              <w:rPr>
                <w:lang w:val="lv-LV"/>
              </w:rPr>
              <w:t xml:space="preserve">vismaz divi </w:t>
            </w:r>
            <w:r w:rsidRPr="009A3B94">
              <w:rPr>
                <w:lang w:val="lv-LV"/>
              </w:rPr>
              <w:t>kvalificēti juristi, kā arī pietiekams skaits kvalificēta personāla, lai sasniegtu pakalpojuma mērķi un rezultātu.</w:t>
            </w:r>
          </w:p>
          <w:p w:rsidR="00DE3968" w:rsidRPr="009A3B94" w:rsidRDefault="00DE3968" w:rsidP="00C84E6D">
            <w:pPr>
              <w:pStyle w:val="Pamattekstsaratkpi"/>
              <w:ind w:left="0"/>
              <w:jc w:val="both"/>
              <w:rPr>
                <w:lang w:val="lv-LV"/>
              </w:rPr>
            </w:pPr>
            <w:r w:rsidRPr="009A3B94">
              <w:rPr>
                <w:lang w:val="lv-LV"/>
              </w:rPr>
              <w:t>(Pretendentam jāiesniedz piedāvāto pakalpojuma izpildē iesaistīto juristu kvalifikācijas apliecinošu dokumentu kopijas)</w:t>
            </w:r>
            <w:r w:rsidR="009A3B94">
              <w:rPr>
                <w:lang w:val="lv-LV"/>
              </w:rPr>
              <w:t>.</w:t>
            </w:r>
          </w:p>
        </w:tc>
      </w:tr>
      <w:tr w:rsidR="00B46BFA" w:rsidRPr="00B46BFA" w:rsidTr="00276E80">
        <w:trPr>
          <w:trHeight w:val="432"/>
        </w:trPr>
        <w:tc>
          <w:tcPr>
            <w:tcW w:w="894" w:type="dxa"/>
          </w:tcPr>
          <w:p w:rsidR="00B46BFA" w:rsidRPr="00E91A9D" w:rsidRDefault="00B46BFA" w:rsidP="007829B2">
            <w:pPr>
              <w:spacing w:before="120" w:after="120"/>
              <w:jc w:val="center"/>
              <w:rPr>
                <w:color w:val="000000"/>
                <w:spacing w:val="-7"/>
                <w:lang w:val="lv-LV"/>
              </w:rPr>
            </w:pPr>
            <w:r w:rsidRPr="00E91A9D">
              <w:rPr>
                <w:color w:val="000000"/>
                <w:spacing w:val="-7"/>
                <w:lang w:val="lv-LV"/>
              </w:rPr>
              <w:t>5.</w:t>
            </w:r>
          </w:p>
        </w:tc>
        <w:tc>
          <w:tcPr>
            <w:tcW w:w="8888" w:type="dxa"/>
          </w:tcPr>
          <w:p w:rsidR="00B46BFA" w:rsidRDefault="00B46BFA" w:rsidP="0066360E">
            <w:pPr>
              <w:pStyle w:val="Pamattekstsaratkpi"/>
              <w:ind w:left="0"/>
              <w:jc w:val="both"/>
              <w:rPr>
                <w:lang w:val="lv-LV"/>
              </w:rPr>
            </w:pPr>
            <w:r w:rsidRPr="009A3B94">
              <w:rPr>
                <w:lang w:val="lv-LV"/>
              </w:rPr>
              <w:t>Tiesvedības dokumentu lietvedības kārtošana</w:t>
            </w:r>
            <w:r w:rsidR="00D671C3">
              <w:rPr>
                <w:lang w:val="lv-LV"/>
              </w:rPr>
              <w:t xml:space="preserve"> (t.sk. tiesas nolēmumu iegūšana)</w:t>
            </w:r>
            <w:r w:rsidRPr="009A3B94">
              <w:rPr>
                <w:lang w:val="lv-LV"/>
              </w:rPr>
              <w:t>.</w:t>
            </w:r>
          </w:p>
          <w:p w:rsidR="000847F0" w:rsidRPr="009A3B94" w:rsidRDefault="000847F0" w:rsidP="000847F0">
            <w:pPr>
              <w:pStyle w:val="Pamattekstsaratkpi"/>
              <w:ind w:left="0"/>
              <w:jc w:val="both"/>
              <w:rPr>
                <w:lang w:val="lv-LV"/>
              </w:rPr>
            </w:pPr>
            <w:r>
              <w:rPr>
                <w:lang w:val="lv-LV"/>
              </w:rPr>
              <w:t>Pēc galīgā nolēmuma stāšanās spēkā nodot Pasūtītājam visu attiecīgās lietas ietvaros saņemto dokumentāciju, kā arī iesniegt Pasūtītājam tiesu nolēmumus.</w:t>
            </w:r>
          </w:p>
        </w:tc>
      </w:tr>
      <w:tr w:rsidR="00B46BFA" w:rsidRPr="00C84E6D" w:rsidTr="00D47A25">
        <w:trPr>
          <w:trHeight w:val="305"/>
        </w:trPr>
        <w:tc>
          <w:tcPr>
            <w:tcW w:w="894" w:type="dxa"/>
          </w:tcPr>
          <w:p w:rsidR="00B46BFA" w:rsidRPr="00E91A9D" w:rsidRDefault="00B46BFA" w:rsidP="007829B2">
            <w:pPr>
              <w:spacing w:before="120" w:after="120"/>
              <w:jc w:val="center"/>
              <w:rPr>
                <w:color w:val="000000"/>
                <w:spacing w:val="-7"/>
                <w:lang w:val="lv-LV"/>
              </w:rPr>
            </w:pPr>
            <w:r w:rsidRPr="00E91A9D">
              <w:rPr>
                <w:color w:val="000000"/>
                <w:spacing w:val="-7"/>
                <w:lang w:val="lv-LV"/>
              </w:rPr>
              <w:t>6.</w:t>
            </w:r>
          </w:p>
        </w:tc>
        <w:tc>
          <w:tcPr>
            <w:tcW w:w="8888" w:type="dxa"/>
          </w:tcPr>
          <w:p w:rsidR="0034315F" w:rsidRPr="001F7A52" w:rsidRDefault="0034315F" w:rsidP="0066360E">
            <w:pPr>
              <w:pStyle w:val="Pamattekstsaratkpi"/>
              <w:ind w:left="0"/>
              <w:jc w:val="both"/>
              <w:rPr>
                <w:lang w:val="lv-LV"/>
              </w:rPr>
            </w:pPr>
            <w:r>
              <w:rPr>
                <w:lang w:val="lv-LV"/>
              </w:rPr>
              <w:t>Vismaz vienu reizi nedēļā klātienē ierasties pie Pasūtītāja dokumentācijas saņemšanai.</w:t>
            </w:r>
          </w:p>
        </w:tc>
      </w:tr>
      <w:tr w:rsidR="00B46BFA" w:rsidRPr="00B46BFA" w:rsidTr="00276E80">
        <w:tc>
          <w:tcPr>
            <w:tcW w:w="894" w:type="dxa"/>
          </w:tcPr>
          <w:p w:rsidR="00B46BFA" w:rsidRPr="00E91A9D" w:rsidRDefault="00B46BFA" w:rsidP="007829B2">
            <w:pPr>
              <w:spacing w:before="120" w:after="120"/>
              <w:jc w:val="center"/>
              <w:rPr>
                <w:color w:val="000000"/>
                <w:spacing w:val="-7"/>
                <w:lang w:val="lv-LV"/>
              </w:rPr>
            </w:pPr>
            <w:r w:rsidRPr="00E91A9D">
              <w:rPr>
                <w:color w:val="000000"/>
                <w:spacing w:val="-7"/>
                <w:lang w:val="lv-LV"/>
              </w:rPr>
              <w:t>7.</w:t>
            </w:r>
          </w:p>
        </w:tc>
        <w:tc>
          <w:tcPr>
            <w:tcW w:w="8888" w:type="dxa"/>
          </w:tcPr>
          <w:p w:rsidR="0034315F" w:rsidRPr="001F7A52" w:rsidRDefault="0034315F" w:rsidP="0034315F">
            <w:pPr>
              <w:pStyle w:val="Pamattekstsaratkpi"/>
              <w:ind w:left="0"/>
              <w:jc w:val="both"/>
              <w:rPr>
                <w:lang w:val="lv-LV"/>
              </w:rPr>
            </w:pPr>
            <w:r w:rsidRPr="001F7A52">
              <w:rPr>
                <w:lang w:val="lv-LV"/>
              </w:rPr>
              <w:t>Tiesvedības datu bāzes uztur</w:t>
            </w:r>
            <w:r>
              <w:rPr>
                <w:lang w:val="lv-LV"/>
              </w:rPr>
              <w:t>ēšana un iknedēļas atjaunošana</w:t>
            </w:r>
            <w:r w:rsidR="001720C3">
              <w:rPr>
                <w:lang w:val="lv-LV"/>
              </w:rPr>
              <w:t>, liet</w:t>
            </w:r>
            <w:r w:rsidR="000847F0">
              <w:rPr>
                <w:lang w:val="lv-LV"/>
              </w:rPr>
              <w:t>u monitorings</w:t>
            </w:r>
            <w:r>
              <w:rPr>
                <w:lang w:val="lv-LV"/>
              </w:rPr>
              <w:t>.</w:t>
            </w:r>
          </w:p>
          <w:p w:rsidR="00B46BFA" w:rsidRPr="001F7A52" w:rsidRDefault="0034315F" w:rsidP="0034315F">
            <w:pPr>
              <w:pStyle w:val="Pamattekstsaratkpi"/>
              <w:ind w:left="0"/>
              <w:jc w:val="both"/>
              <w:rPr>
                <w:color w:val="000000" w:themeColor="text1"/>
                <w:lang w:val="lv-LV"/>
              </w:rPr>
            </w:pPr>
            <w:r w:rsidRPr="001F7A52">
              <w:rPr>
                <w:lang w:val="lv-LV"/>
              </w:rPr>
              <w:t>Saziņa ar Pasūtītāja pārvaldēm par lietu virzību un tiesvedību saistībā ar datu bāzes uzturēšanu.</w:t>
            </w:r>
          </w:p>
        </w:tc>
      </w:tr>
      <w:tr w:rsidR="00B46BFA" w:rsidRPr="00C84E6D" w:rsidTr="007829B2">
        <w:trPr>
          <w:trHeight w:val="328"/>
        </w:trPr>
        <w:tc>
          <w:tcPr>
            <w:tcW w:w="894" w:type="dxa"/>
          </w:tcPr>
          <w:p w:rsidR="00B46BFA" w:rsidRPr="00E91A9D" w:rsidRDefault="005D3812" w:rsidP="007829B2">
            <w:pPr>
              <w:spacing w:before="120" w:after="120"/>
              <w:jc w:val="center"/>
              <w:rPr>
                <w:color w:val="000000"/>
                <w:spacing w:val="-7"/>
                <w:lang w:val="lv-LV"/>
              </w:rPr>
            </w:pPr>
            <w:r>
              <w:rPr>
                <w:color w:val="000000"/>
                <w:spacing w:val="-7"/>
                <w:lang w:val="lv-LV"/>
              </w:rPr>
              <w:t>8</w:t>
            </w:r>
            <w:r w:rsidR="00B46BFA" w:rsidRPr="00E91A9D">
              <w:rPr>
                <w:color w:val="000000"/>
                <w:spacing w:val="-7"/>
                <w:lang w:val="lv-LV"/>
              </w:rPr>
              <w:t>.</w:t>
            </w:r>
          </w:p>
        </w:tc>
        <w:tc>
          <w:tcPr>
            <w:tcW w:w="8888" w:type="dxa"/>
          </w:tcPr>
          <w:p w:rsidR="00B46BFA" w:rsidRPr="001B3050" w:rsidRDefault="00B46BFA" w:rsidP="0066360E">
            <w:pPr>
              <w:pStyle w:val="Pamattekstsaratkpi"/>
              <w:ind w:left="0"/>
              <w:jc w:val="both"/>
              <w:rPr>
                <w:color w:val="FF0000"/>
                <w:lang w:val="lv-LV"/>
              </w:rPr>
            </w:pPr>
            <w:r w:rsidRPr="00F81475">
              <w:rPr>
                <w:color w:val="000000" w:themeColor="text1"/>
                <w:lang w:val="lv-LV"/>
              </w:rPr>
              <w:t xml:space="preserve">Konsultāciju sniegšana </w:t>
            </w:r>
            <w:r>
              <w:rPr>
                <w:color w:val="000000" w:themeColor="text1"/>
                <w:lang w:val="lv-LV"/>
              </w:rPr>
              <w:t xml:space="preserve">pēc nepieciešamības ar </w:t>
            </w:r>
            <w:r w:rsidRPr="00F81475">
              <w:rPr>
                <w:color w:val="000000" w:themeColor="text1"/>
                <w:lang w:val="lv-LV"/>
              </w:rPr>
              <w:t xml:space="preserve">iestādes darbību saistītiem juridiskajiem </w:t>
            </w:r>
            <w:r w:rsidRPr="005B5AFC">
              <w:rPr>
                <w:lang w:val="lv-LV"/>
              </w:rPr>
              <w:t xml:space="preserve">jautājumiem, </w:t>
            </w:r>
            <w:r>
              <w:rPr>
                <w:lang w:val="lv-LV"/>
              </w:rPr>
              <w:t>kas izriet no administratīvajām un</w:t>
            </w:r>
            <w:r w:rsidRPr="005B5AFC">
              <w:rPr>
                <w:lang w:val="lv-LV"/>
              </w:rPr>
              <w:t xml:space="preserve"> admi</w:t>
            </w:r>
            <w:r>
              <w:rPr>
                <w:lang w:val="lv-LV"/>
              </w:rPr>
              <w:t>nistratīvo pārkāpumu lietām</w:t>
            </w:r>
            <w:r w:rsidRPr="005B5AFC">
              <w:rPr>
                <w:lang w:val="lv-LV"/>
              </w:rPr>
              <w:t>.</w:t>
            </w:r>
          </w:p>
        </w:tc>
      </w:tr>
      <w:tr w:rsidR="0016297A" w:rsidRPr="00C84E6D" w:rsidTr="007829B2">
        <w:trPr>
          <w:trHeight w:val="328"/>
        </w:trPr>
        <w:tc>
          <w:tcPr>
            <w:tcW w:w="894" w:type="dxa"/>
          </w:tcPr>
          <w:p w:rsidR="0016297A" w:rsidRDefault="0016297A" w:rsidP="007829B2">
            <w:pPr>
              <w:spacing w:before="120" w:after="120"/>
              <w:jc w:val="center"/>
              <w:rPr>
                <w:color w:val="000000"/>
                <w:spacing w:val="-7"/>
                <w:lang w:val="lv-LV"/>
              </w:rPr>
            </w:pPr>
            <w:r>
              <w:rPr>
                <w:color w:val="000000"/>
                <w:spacing w:val="-7"/>
                <w:lang w:val="lv-LV"/>
              </w:rPr>
              <w:t>9.</w:t>
            </w:r>
          </w:p>
        </w:tc>
        <w:tc>
          <w:tcPr>
            <w:tcW w:w="8888" w:type="dxa"/>
          </w:tcPr>
          <w:p w:rsidR="0016297A" w:rsidRPr="00F81475" w:rsidRDefault="0034315F" w:rsidP="0066360E">
            <w:pPr>
              <w:pStyle w:val="Pamattekstsaratkpi"/>
              <w:ind w:left="0"/>
              <w:jc w:val="both"/>
              <w:rPr>
                <w:color w:val="000000" w:themeColor="text1"/>
                <w:lang w:val="lv-LV"/>
              </w:rPr>
            </w:pPr>
            <w:r w:rsidRPr="001F7A52">
              <w:rPr>
                <w:color w:val="000000" w:themeColor="text1"/>
                <w:lang w:val="lv-LV"/>
              </w:rPr>
              <w:t>Uzziņu sagatavošana un sniegšana.</w:t>
            </w:r>
          </w:p>
        </w:tc>
      </w:tr>
      <w:tr w:rsidR="0034315F" w:rsidRPr="00C84E6D" w:rsidTr="007829B2">
        <w:trPr>
          <w:trHeight w:val="328"/>
        </w:trPr>
        <w:tc>
          <w:tcPr>
            <w:tcW w:w="894" w:type="dxa"/>
          </w:tcPr>
          <w:p w:rsidR="0034315F" w:rsidRDefault="0034315F" w:rsidP="007829B2">
            <w:pPr>
              <w:spacing w:before="120" w:after="120"/>
              <w:jc w:val="center"/>
              <w:rPr>
                <w:color w:val="000000"/>
                <w:spacing w:val="-7"/>
                <w:lang w:val="lv-LV"/>
              </w:rPr>
            </w:pPr>
            <w:r>
              <w:rPr>
                <w:color w:val="000000"/>
                <w:spacing w:val="-7"/>
                <w:lang w:val="lv-LV"/>
              </w:rPr>
              <w:t>10.</w:t>
            </w:r>
          </w:p>
        </w:tc>
        <w:tc>
          <w:tcPr>
            <w:tcW w:w="8888" w:type="dxa"/>
          </w:tcPr>
          <w:p w:rsidR="0034315F" w:rsidRPr="009A3B94" w:rsidRDefault="0034315F" w:rsidP="008F2914">
            <w:pPr>
              <w:pStyle w:val="Pamattekstsaratkpi"/>
              <w:ind w:left="0"/>
              <w:jc w:val="both"/>
              <w:rPr>
                <w:lang w:val="lv-LV"/>
              </w:rPr>
            </w:pPr>
            <w:r w:rsidRPr="009A3B94">
              <w:rPr>
                <w:lang w:val="lv-LV"/>
              </w:rPr>
              <w:t xml:space="preserve">Aptuvenais darba apjoms 20-30 lietas </w:t>
            </w:r>
            <w:r w:rsidR="00D671C3">
              <w:rPr>
                <w:lang w:val="lv-LV"/>
              </w:rPr>
              <w:t>un 1</w:t>
            </w:r>
            <w:r w:rsidR="008F2914">
              <w:rPr>
                <w:lang w:val="lv-LV"/>
              </w:rPr>
              <w:t>18</w:t>
            </w:r>
            <w:r w:rsidR="00D671C3">
              <w:rPr>
                <w:lang w:val="lv-LV"/>
              </w:rPr>
              <w:t xml:space="preserve"> darba stundas mēnesī</w:t>
            </w:r>
            <w:r w:rsidRPr="009A3B94">
              <w:rPr>
                <w:lang w:val="lv-LV"/>
              </w:rPr>
              <w:t>.</w:t>
            </w:r>
          </w:p>
        </w:tc>
      </w:tr>
    </w:tbl>
    <w:p w:rsidR="007C2968" w:rsidRDefault="007C2968" w:rsidP="007C2968">
      <w:pPr>
        <w:ind w:left="-142"/>
        <w:jc w:val="both"/>
        <w:rPr>
          <w:sz w:val="26"/>
          <w:szCs w:val="26"/>
          <w:lang w:val="lv-LV"/>
        </w:rPr>
      </w:pPr>
    </w:p>
    <w:tbl>
      <w:tblPr>
        <w:tblStyle w:val="Reatabula1"/>
        <w:tblW w:w="9782" w:type="dxa"/>
        <w:tblInd w:w="-176" w:type="dxa"/>
        <w:tblLook w:val="01E0" w:firstRow="1" w:lastRow="1" w:firstColumn="1" w:lastColumn="1" w:noHBand="0" w:noVBand="0"/>
      </w:tblPr>
      <w:tblGrid>
        <w:gridCol w:w="851"/>
        <w:gridCol w:w="5812"/>
        <w:gridCol w:w="3119"/>
      </w:tblGrid>
      <w:tr w:rsidR="00463FC6" w:rsidRPr="00463FC6" w:rsidTr="00463FC6">
        <w:trPr>
          <w:trHeight w:val="589"/>
        </w:trPr>
        <w:tc>
          <w:tcPr>
            <w:tcW w:w="851" w:type="dxa"/>
          </w:tcPr>
          <w:p w:rsidR="00463FC6" w:rsidRPr="00463FC6" w:rsidRDefault="00463FC6" w:rsidP="00463FC6">
            <w:pPr>
              <w:jc w:val="center"/>
              <w:rPr>
                <w:b/>
                <w:sz w:val="26"/>
                <w:szCs w:val="26"/>
                <w:lang w:val="lv-LV" w:eastAsia="lv-LV"/>
              </w:rPr>
            </w:pPr>
            <w:r w:rsidRPr="00463FC6">
              <w:rPr>
                <w:b/>
                <w:sz w:val="26"/>
                <w:szCs w:val="26"/>
                <w:lang w:val="lv-LV" w:eastAsia="lv-LV"/>
              </w:rPr>
              <w:t>Nr.</w:t>
            </w:r>
          </w:p>
          <w:p w:rsidR="00463FC6" w:rsidRPr="00463FC6" w:rsidRDefault="00463FC6" w:rsidP="00463FC6">
            <w:pPr>
              <w:jc w:val="center"/>
              <w:rPr>
                <w:b/>
                <w:sz w:val="26"/>
                <w:szCs w:val="26"/>
                <w:lang w:val="lv-LV" w:eastAsia="lv-LV"/>
              </w:rPr>
            </w:pPr>
            <w:r w:rsidRPr="00463FC6">
              <w:rPr>
                <w:b/>
                <w:sz w:val="26"/>
                <w:szCs w:val="26"/>
                <w:lang w:val="lv-LV" w:eastAsia="lv-LV"/>
              </w:rPr>
              <w:t>p/k.</w:t>
            </w:r>
          </w:p>
        </w:tc>
        <w:tc>
          <w:tcPr>
            <w:tcW w:w="5812" w:type="dxa"/>
          </w:tcPr>
          <w:p w:rsidR="00463FC6" w:rsidRPr="00463FC6" w:rsidRDefault="00463FC6" w:rsidP="00463FC6">
            <w:pPr>
              <w:jc w:val="center"/>
              <w:rPr>
                <w:b/>
                <w:sz w:val="26"/>
                <w:szCs w:val="26"/>
                <w:lang w:val="lv-LV" w:eastAsia="lv-LV"/>
              </w:rPr>
            </w:pPr>
          </w:p>
        </w:tc>
        <w:tc>
          <w:tcPr>
            <w:tcW w:w="3119" w:type="dxa"/>
          </w:tcPr>
          <w:p w:rsidR="00463FC6" w:rsidRPr="00463FC6" w:rsidRDefault="00463FC6" w:rsidP="00463FC6">
            <w:pPr>
              <w:jc w:val="center"/>
              <w:rPr>
                <w:b/>
                <w:sz w:val="26"/>
                <w:szCs w:val="26"/>
                <w:lang w:val="lv-LV" w:eastAsia="lv-LV"/>
              </w:rPr>
            </w:pPr>
            <w:r>
              <w:rPr>
                <w:b/>
                <w:sz w:val="26"/>
                <w:szCs w:val="26"/>
                <w:lang w:val="lv-LV" w:eastAsia="lv-LV"/>
              </w:rPr>
              <w:t>P</w:t>
            </w:r>
            <w:r w:rsidRPr="00463FC6">
              <w:rPr>
                <w:b/>
                <w:sz w:val="26"/>
                <w:szCs w:val="26"/>
                <w:lang w:val="lv-LV" w:eastAsia="lv-LV"/>
              </w:rPr>
              <w:t xml:space="preserve">iedāvātā pakalpojuma cena </w:t>
            </w:r>
          </w:p>
        </w:tc>
      </w:tr>
      <w:tr w:rsidR="00463FC6" w:rsidRPr="00463FC6" w:rsidTr="00463FC6">
        <w:tc>
          <w:tcPr>
            <w:tcW w:w="851" w:type="dxa"/>
          </w:tcPr>
          <w:p w:rsidR="00463FC6" w:rsidRPr="00463FC6" w:rsidRDefault="00463FC6" w:rsidP="00463FC6">
            <w:pPr>
              <w:jc w:val="center"/>
              <w:rPr>
                <w:sz w:val="26"/>
                <w:szCs w:val="26"/>
                <w:lang w:val="lv-LV" w:eastAsia="lv-LV"/>
              </w:rPr>
            </w:pPr>
          </w:p>
          <w:p w:rsidR="00463FC6" w:rsidRPr="00463FC6" w:rsidRDefault="00463FC6" w:rsidP="00463FC6">
            <w:pPr>
              <w:jc w:val="center"/>
              <w:rPr>
                <w:sz w:val="26"/>
                <w:szCs w:val="26"/>
                <w:lang w:val="lv-LV" w:eastAsia="lv-LV"/>
              </w:rPr>
            </w:pPr>
            <w:r w:rsidRPr="00463FC6">
              <w:rPr>
                <w:sz w:val="26"/>
                <w:szCs w:val="26"/>
                <w:lang w:val="lv-LV" w:eastAsia="lv-LV"/>
              </w:rPr>
              <w:t>1.</w:t>
            </w:r>
          </w:p>
        </w:tc>
        <w:tc>
          <w:tcPr>
            <w:tcW w:w="5812" w:type="dxa"/>
          </w:tcPr>
          <w:p w:rsidR="00463FC6" w:rsidRPr="00463FC6" w:rsidRDefault="00463FC6" w:rsidP="00463FC6">
            <w:pPr>
              <w:rPr>
                <w:sz w:val="26"/>
                <w:szCs w:val="26"/>
                <w:lang w:val="lv-LV" w:eastAsia="lv-LV"/>
              </w:rPr>
            </w:pPr>
          </w:p>
          <w:p w:rsidR="00463FC6" w:rsidRPr="00463FC6" w:rsidRDefault="00463FC6" w:rsidP="00463FC6">
            <w:pPr>
              <w:rPr>
                <w:sz w:val="26"/>
                <w:szCs w:val="26"/>
                <w:lang w:val="lv-LV" w:eastAsia="lv-LV"/>
              </w:rPr>
            </w:pPr>
            <w:r w:rsidRPr="00463FC6">
              <w:rPr>
                <w:sz w:val="26"/>
                <w:szCs w:val="26"/>
                <w:lang w:val="lv-LV" w:eastAsia="lv-LV"/>
              </w:rPr>
              <w:t>Samaksa par juridisko pakalpojumu sniegšanu mēnesī EUR bez PVN</w:t>
            </w:r>
          </w:p>
          <w:p w:rsidR="00463FC6" w:rsidRPr="00463FC6" w:rsidRDefault="00463FC6" w:rsidP="00463FC6">
            <w:pPr>
              <w:rPr>
                <w:sz w:val="26"/>
                <w:szCs w:val="26"/>
                <w:lang w:val="lv-LV" w:eastAsia="lv-LV"/>
              </w:rPr>
            </w:pPr>
          </w:p>
        </w:tc>
        <w:tc>
          <w:tcPr>
            <w:tcW w:w="3119" w:type="dxa"/>
          </w:tcPr>
          <w:p w:rsidR="00463FC6" w:rsidRPr="00463FC6" w:rsidRDefault="00463FC6" w:rsidP="00463FC6">
            <w:pPr>
              <w:rPr>
                <w:sz w:val="26"/>
                <w:szCs w:val="26"/>
                <w:lang w:val="lv-LV" w:eastAsia="lv-LV"/>
              </w:rPr>
            </w:pPr>
          </w:p>
          <w:p w:rsidR="00463FC6" w:rsidRPr="00463FC6" w:rsidRDefault="00463FC6" w:rsidP="00463FC6">
            <w:pPr>
              <w:rPr>
                <w:sz w:val="26"/>
                <w:szCs w:val="26"/>
                <w:lang w:val="lv-LV" w:eastAsia="lv-LV"/>
              </w:rPr>
            </w:pPr>
          </w:p>
          <w:p w:rsidR="00463FC6" w:rsidRPr="00463FC6" w:rsidRDefault="00463FC6" w:rsidP="00463FC6">
            <w:pPr>
              <w:jc w:val="center"/>
              <w:rPr>
                <w:sz w:val="26"/>
                <w:szCs w:val="26"/>
                <w:lang w:val="lv-LV" w:eastAsia="lv-LV"/>
              </w:rPr>
            </w:pPr>
            <w:r w:rsidRPr="00463FC6">
              <w:rPr>
                <w:sz w:val="26"/>
                <w:szCs w:val="26"/>
                <w:lang w:val="lv-LV" w:eastAsia="lv-LV"/>
              </w:rPr>
              <w:t>EUR bez PVN _________</w:t>
            </w:r>
          </w:p>
        </w:tc>
      </w:tr>
    </w:tbl>
    <w:p w:rsidR="00463FC6" w:rsidRDefault="00463FC6" w:rsidP="00463FC6">
      <w:pPr>
        <w:ind w:left="-142"/>
        <w:jc w:val="both"/>
        <w:rPr>
          <w:sz w:val="26"/>
          <w:szCs w:val="26"/>
          <w:lang w:val="lv-LV"/>
        </w:rPr>
      </w:pPr>
    </w:p>
    <w:p w:rsidR="00463FC6" w:rsidRPr="00463FC6" w:rsidRDefault="00463FC6" w:rsidP="00463FC6">
      <w:pPr>
        <w:ind w:left="-142"/>
        <w:jc w:val="both"/>
        <w:rPr>
          <w:sz w:val="26"/>
          <w:szCs w:val="26"/>
          <w:lang w:val="lv-LV"/>
        </w:rPr>
      </w:pPr>
      <w:r w:rsidRPr="00463FC6">
        <w:rPr>
          <w:sz w:val="26"/>
          <w:szCs w:val="26"/>
          <w:lang w:val="lv-LV"/>
        </w:rPr>
        <w:lastRenderedPageBreak/>
        <w:t>Finanšu piedāvājumā norādītās juridisko pakalpojumu kopējās samaksas summā ir iekļautas visas ar Pakalpojumu sniegšanu saistītās izmaksas (piemēram, izbraukšana uz tiesu sēdēm, pasta izdevumi, u.c.), kā arī visi nodokļi (izņemot PVN) un nodevas, ja tādas ir paredzētas, kā arī visi iespējamie riski, kas saistīti ar tirgus cenu svārstībām plānotajā iepirkuma līguma izpildes laikā.</w:t>
      </w:r>
    </w:p>
    <w:p w:rsidR="007C2968" w:rsidRDefault="00463FC6" w:rsidP="00463FC6">
      <w:pPr>
        <w:ind w:left="-142"/>
        <w:jc w:val="both"/>
        <w:rPr>
          <w:sz w:val="26"/>
          <w:szCs w:val="26"/>
          <w:lang w:val="lv-LV"/>
        </w:rPr>
      </w:pPr>
      <w:r w:rsidRPr="00463FC6">
        <w:rPr>
          <w:sz w:val="26"/>
          <w:szCs w:val="26"/>
          <w:lang w:val="lv-LV"/>
        </w:rPr>
        <w:t>Valsts nodevas un sludinājumu izmaksas, kas ir saistīti ar Pasūtījuma izpildi, sedz Pasūtītājs.</w:t>
      </w:r>
    </w:p>
    <w:sectPr w:rsidR="007C2968" w:rsidSect="007829B2">
      <w:pgSz w:w="11906" w:h="16838"/>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108"/>
    <w:multiLevelType w:val="hybridMultilevel"/>
    <w:tmpl w:val="FBE65A3E"/>
    <w:lvl w:ilvl="0" w:tplc="247ACC38">
      <w:numFmt w:val="bullet"/>
      <w:lvlText w:val=""/>
      <w:lvlJc w:val="left"/>
      <w:pPr>
        <w:ind w:left="389" w:hanging="360"/>
      </w:pPr>
      <w:rPr>
        <w:rFonts w:ascii="Symbol" w:eastAsia="Times New Roman" w:hAnsi="Symbol"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1" w15:restartNumberingAfterBreak="0">
    <w:nsid w:val="3F822819"/>
    <w:multiLevelType w:val="hybridMultilevel"/>
    <w:tmpl w:val="B7EE9552"/>
    <w:lvl w:ilvl="0" w:tplc="CA34CB88">
      <w:numFmt w:val="bullet"/>
      <w:lvlText w:val=""/>
      <w:lvlJc w:val="left"/>
      <w:pPr>
        <w:ind w:left="720" w:hanging="360"/>
      </w:pPr>
      <w:rPr>
        <w:rFonts w:ascii="Symbol" w:eastAsia="Times New Roman" w:hAnsi="Symbol" w:cs="Times New Roman" w:hint="default"/>
        <w:b w:val="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0D32"/>
    <w:rsid w:val="0000359E"/>
    <w:rsid w:val="00051F79"/>
    <w:rsid w:val="0006160A"/>
    <w:rsid w:val="000635D1"/>
    <w:rsid w:val="00076FBA"/>
    <w:rsid w:val="000847F0"/>
    <w:rsid w:val="0009378C"/>
    <w:rsid w:val="00097397"/>
    <w:rsid w:val="000C3EB8"/>
    <w:rsid w:val="001615AE"/>
    <w:rsid w:val="0016297A"/>
    <w:rsid w:val="00163C95"/>
    <w:rsid w:val="001720C3"/>
    <w:rsid w:val="001851DB"/>
    <w:rsid w:val="001B05DA"/>
    <w:rsid w:val="001B3050"/>
    <w:rsid w:val="001D3F32"/>
    <w:rsid w:val="001F665F"/>
    <w:rsid w:val="001F7A52"/>
    <w:rsid w:val="00202D3A"/>
    <w:rsid w:val="00207E28"/>
    <w:rsid w:val="002129F8"/>
    <w:rsid w:val="00254C43"/>
    <w:rsid w:val="00276E80"/>
    <w:rsid w:val="003041CF"/>
    <w:rsid w:val="00331F26"/>
    <w:rsid w:val="00333BE7"/>
    <w:rsid w:val="0034315F"/>
    <w:rsid w:val="00384FD7"/>
    <w:rsid w:val="003854D8"/>
    <w:rsid w:val="003D0C55"/>
    <w:rsid w:val="003D6C73"/>
    <w:rsid w:val="003E3177"/>
    <w:rsid w:val="003E3E74"/>
    <w:rsid w:val="00411C8C"/>
    <w:rsid w:val="00430AA9"/>
    <w:rsid w:val="00441F52"/>
    <w:rsid w:val="004442F2"/>
    <w:rsid w:val="00463FC6"/>
    <w:rsid w:val="00484C38"/>
    <w:rsid w:val="0048757C"/>
    <w:rsid w:val="00517D7B"/>
    <w:rsid w:val="00533722"/>
    <w:rsid w:val="00592CA6"/>
    <w:rsid w:val="00594B07"/>
    <w:rsid w:val="005B2FCA"/>
    <w:rsid w:val="005B5AFC"/>
    <w:rsid w:val="005C1F78"/>
    <w:rsid w:val="005D3812"/>
    <w:rsid w:val="00694116"/>
    <w:rsid w:val="006A344C"/>
    <w:rsid w:val="006F3B8A"/>
    <w:rsid w:val="007064A8"/>
    <w:rsid w:val="00771396"/>
    <w:rsid w:val="00772A63"/>
    <w:rsid w:val="007829B2"/>
    <w:rsid w:val="00786F15"/>
    <w:rsid w:val="00790686"/>
    <w:rsid w:val="007912BA"/>
    <w:rsid w:val="00796E9E"/>
    <w:rsid w:val="007C2968"/>
    <w:rsid w:val="007F70F3"/>
    <w:rsid w:val="007F73E7"/>
    <w:rsid w:val="008059C7"/>
    <w:rsid w:val="00823BBE"/>
    <w:rsid w:val="008452FC"/>
    <w:rsid w:val="008F2914"/>
    <w:rsid w:val="008F635D"/>
    <w:rsid w:val="009265FA"/>
    <w:rsid w:val="00982B6A"/>
    <w:rsid w:val="009A3B94"/>
    <w:rsid w:val="009C5200"/>
    <w:rsid w:val="009F7DA3"/>
    <w:rsid w:val="00A128D4"/>
    <w:rsid w:val="00A23375"/>
    <w:rsid w:val="00A42C0B"/>
    <w:rsid w:val="00A55DE7"/>
    <w:rsid w:val="00A57E10"/>
    <w:rsid w:val="00A70831"/>
    <w:rsid w:val="00A8325C"/>
    <w:rsid w:val="00A86534"/>
    <w:rsid w:val="00A86D06"/>
    <w:rsid w:val="00AB19D1"/>
    <w:rsid w:val="00AB21DF"/>
    <w:rsid w:val="00AB7E46"/>
    <w:rsid w:val="00AC5A86"/>
    <w:rsid w:val="00AE45E2"/>
    <w:rsid w:val="00AF0D32"/>
    <w:rsid w:val="00AF71C1"/>
    <w:rsid w:val="00B01CC5"/>
    <w:rsid w:val="00B37F49"/>
    <w:rsid w:val="00B44774"/>
    <w:rsid w:val="00B46560"/>
    <w:rsid w:val="00B46BFA"/>
    <w:rsid w:val="00B77F1D"/>
    <w:rsid w:val="00B86B90"/>
    <w:rsid w:val="00BD4E28"/>
    <w:rsid w:val="00C005B4"/>
    <w:rsid w:val="00C16DA8"/>
    <w:rsid w:val="00C20851"/>
    <w:rsid w:val="00C36376"/>
    <w:rsid w:val="00C40B9E"/>
    <w:rsid w:val="00C412FF"/>
    <w:rsid w:val="00C53427"/>
    <w:rsid w:val="00C84E6D"/>
    <w:rsid w:val="00CA08C4"/>
    <w:rsid w:val="00CA435E"/>
    <w:rsid w:val="00CB5471"/>
    <w:rsid w:val="00D027D8"/>
    <w:rsid w:val="00D47A25"/>
    <w:rsid w:val="00D60B5A"/>
    <w:rsid w:val="00D671C3"/>
    <w:rsid w:val="00D85FF4"/>
    <w:rsid w:val="00D96B1A"/>
    <w:rsid w:val="00DA36AA"/>
    <w:rsid w:val="00DA74D5"/>
    <w:rsid w:val="00DE3968"/>
    <w:rsid w:val="00DF6C88"/>
    <w:rsid w:val="00E066C6"/>
    <w:rsid w:val="00E241C1"/>
    <w:rsid w:val="00E3451B"/>
    <w:rsid w:val="00E50652"/>
    <w:rsid w:val="00E6020B"/>
    <w:rsid w:val="00E62A7A"/>
    <w:rsid w:val="00E7254D"/>
    <w:rsid w:val="00E91A9D"/>
    <w:rsid w:val="00EA5C49"/>
    <w:rsid w:val="00EC6C06"/>
    <w:rsid w:val="00ED68E9"/>
    <w:rsid w:val="00EF78DF"/>
    <w:rsid w:val="00F202E1"/>
    <w:rsid w:val="00F7383C"/>
    <w:rsid w:val="00F81475"/>
    <w:rsid w:val="00F94816"/>
    <w:rsid w:val="00FB3C07"/>
    <w:rsid w:val="00FC15C5"/>
    <w:rsid w:val="00FF5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743B18-5F84-48C2-B234-D72B42E6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AF0D32"/>
    <w:rPr>
      <w:sz w:val="24"/>
      <w:szCs w:val="24"/>
      <w:lang w:val="en-GB" w:eastAsia="en-US"/>
    </w:rPr>
  </w:style>
  <w:style w:type="paragraph" w:styleId="Virsraksts3">
    <w:name w:val="heading 3"/>
    <w:basedOn w:val="Parasts"/>
    <w:next w:val="Parasts"/>
    <w:qFormat/>
    <w:rsid w:val="00AF0D32"/>
    <w:pPr>
      <w:keepNext/>
      <w:shd w:val="clear" w:color="auto" w:fill="FFFFFF"/>
      <w:spacing w:before="120" w:after="120" w:line="264" w:lineRule="exact"/>
      <w:ind w:left="29"/>
      <w:jc w:val="center"/>
      <w:outlineLvl w:val="2"/>
    </w:pPr>
    <w:rPr>
      <w:b/>
      <w:color w:val="000000"/>
      <w:spacing w:val="-7"/>
      <w:sz w:val="26"/>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AF0D32"/>
    <w:pPr>
      <w:jc w:val="both"/>
    </w:pPr>
    <w:rPr>
      <w:bCs/>
      <w:sz w:val="26"/>
      <w:lang w:val="lv-LV"/>
    </w:rPr>
  </w:style>
  <w:style w:type="table" w:styleId="Reatabula">
    <w:name w:val="Table Grid"/>
    <w:basedOn w:val="Parastatabula"/>
    <w:rsid w:val="00AF0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rsid w:val="000C3EB8"/>
    <w:pPr>
      <w:spacing w:after="120"/>
      <w:ind w:left="283"/>
    </w:pPr>
  </w:style>
  <w:style w:type="paragraph" w:styleId="Sarakstarindkopa">
    <w:name w:val="List Paragraph"/>
    <w:basedOn w:val="Parasts"/>
    <w:uiPriority w:val="34"/>
    <w:qFormat/>
    <w:rsid w:val="00771396"/>
    <w:pPr>
      <w:ind w:left="720"/>
      <w:contextualSpacing/>
    </w:pPr>
  </w:style>
  <w:style w:type="character" w:styleId="Komentraatsauce">
    <w:name w:val="annotation reference"/>
    <w:basedOn w:val="Noklusjumarindkopasfonts"/>
    <w:rsid w:val="007F70F3"/>
    <w:rPr>
      <w:sz w:val="16"/>
      <w:szCs w:val="16"/>
    </w:rPr>
  </w:style>
  <w:style w:type="paragraph" w:styleId="Komentrateksts">
    <w:name w:val="annotation text"/>
    <w:basedOn w:val="Parasts"/>
    <w:link w:val="KomentratekstsRakstz"/>
    <w:rsid w:val="007F70F3"/>
    <w:rPr>
      <w:sz w:val="20"/>
      <w:szCs w:val="20"/>
    </w:rPr>
  </w:style>
  <w:style w:type="character" w:customStyle="1" w:styleId="KomentratekstsRakstz">
    <w:name w:val="Komentāra teksts Rakstz."/>
    <w:basedOn w:val="Noklusjumarindkopasfonts"/>
    <w:link w:val="Komentrateksts"/>
    <w:rsid w:val="007F70F3"/>
    <w:rPr>
      <w:lang w:val="en-GB" w:eastAsia="en-US"/>
    </w:rPr>
  </w:style>
  <w:style w:type="paragraph" w:styleId="Komentratma">
    <w:name w:val="annotation subject"/>
    <w:basedOn w:val="Komentrateksts"/>
    <w:next w:val="Komentrateksts"/>
    <w:link w:val="KomentratmaRakstz"/>
    <w:rsid w:val="007F70F3"/>
    <w:rPr>
      <w:b/>
      <w:bCs/>
    </w:rPr>
  </w:style>
  <w:style w:type="character" w:customStyle="1" w:styleId="KomentratmaRakstz">
    <w:name w:val="Komentāra tēma Rakstz."/>
    <w:basedOn w:val="KomentratekstsRakstz"/>
    <w:link w:val="Komentratma"/>
    <w:rsid w:val="007F70F3"/>
    <w:rPr>
      <w:b/>
      <w:bCs/>
      <w:lang w:val="en-GB" w:eastAsia="en-US"/>
    </w:rPr>
  </w:style>
  <w:style w:type="paragraph" w:styleId="Balonteksts">
    <w:name w:val="Balloon Text"/>
    <w:basedOn w:val="Parasts"/>
    <w:link w:val="BalontekstsRakstz"/>
    <w:rsid w:val="007F70F3"/>
    <w:rPr>
      <w:rFonts w:ascii="Tahoma" w:hAnsi="Tahoma" w:cs="Tahoma"/>
      <w:sz w:val="16"/>
      <w:szCs w:val="16"/>
    </w:rPr>
  </w:style>
  <w:style w:type="character" w:customStyle="1" w:styleId="BalontekstsRakstz">
    <w:name w:val="Balonteksts Rakstz."/>
    <w:basedOn w:val="Noklusjumarindkopasfonts"/>
    <w:link w:val="Balonteksts"/>
    <w:rsid w:val="007F70F3"/>
    <w:rPr>
      <w:rFonts w:ascii="Tahoma" w:hAnsi="Tahoma" w:cs="Tahoma"/>
      <w:sz w:val="16"/>
      <w:szCs w:val="16"/>
      <w:lang w:val="en-GB" w:eastAsia="en-US"/>
    </w:rPr>
  </w:style>
  <w:style w:type="table" w:customStyle="1" w:styleId="Reatabula1">
    <w:name w:val="Režģa tabula1"/>
    <w:basedOn w:val="Parastatabula"/>
    <w:next w:val="Reatabula"/>
    <w:rsid w:val="00463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941628">
      <w:bodyDiv w:val="1"/>
      <w:marLeft w:val="0"/>
      <w:marRight w:val="0"/>
      <w:marTop w:val="0"/>
      <w:marBottom w:val="0"/>
      <w:divBdr>
        <w:top w:val="none" w:sz="0" w:space="0" w:color="auto"/>
        <w:left w:val="none" w:sz="0" w:space="0" w:color="auto"/>
        <w:bottom w:val="none" w:sz="0" w:space="0" w:color="auto"/>
        <w:right w:val="none" w:sz="0" w:space="0" w:color="auto"/>
      </w:divBdr>
    </w:div>
    <w:div w:id="21122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1829</Words>
  <Characters>1044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IEPIRKUMA PROCEDŪRA</vt:lpstr>
    </vt:vector>
  </TitlesOfParts>
  <Company>Rigas Dome</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dc:title>
  <dc:creator>Solvita Pizele</dc:creator>
  <cp:lastModifiedBy>Andrejs Vessers-Arness</cp:lastModifiedBy>
  <cp:revision>2</cp:revision>
  <cp:lastPrinted>2013-07-16T11:42:00Z</cp:lastPrinted>
  <dcterms:created xsi:type="dcterms:W3CDTF">2018-10-08T09:57:00Z</dcterms:created>
  <dcterms:modified xsi:type="dcterms:W3CDTF">2018-10-08T09:57:00Z</dcterms:modified>
</cp:coreProperties>
</file>